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840" w:rsidRDefault="00E77840"/>
    <w:p w:rsidR="00E77840" w:rsidRDefault="00E77840"/>
    <w:p w:rsidR="00E77840" w:rsidRDefault="00E77840">
      <w:pPr>
        <w:jc w:val="center"/>
        <w:rPr>
          <w:rFonts w:ascii="黑体" w:eastAsia="黑体" w:hAnsi="黑体"/>
          <w:sz w:val="52"/>
          <w:szCs w:val="52"/>
        </w:rPr>
      </w:pPr>
    </w:p>
    <w:p w:rsidR="00E77840" w:rsidRDefault="00D723D4">
      <w:pPr>
        <w:jc w:val="center"/>
        <w:rPr>
          <w:rFonts w:ascii="黑体" w:eastAsia="黑体" w:hAnsi="黑体"/>
          <w:sz w:val="52"/>
          <w:szCs w:val="52"/>
        </w:rPr>
      </w:pPr>
      <w:r>
        <w:rPr>
          <w:rFonts w:ascii="黑体" w:eastAsia="黑体" w:hAnsi="黑体" w:hint="eastAsia"/>
          <w:sz w:val="52"/>
          <w:szCs w:val="52"/>
        </w:rPr>
        <w:t>中国渔业协会团体标准</w:t>
      </w:r>
    </w:p>
    <w:p w:rsidR="00E77840" w:rsidRDefault="00E77840">
      <w:pPr>
        <w:jc w:val="center"/>
        <w:rPr>
          <w:rFonts w:ascii="黑体" w:eastAsia="黑体" w:hAnsi="黑体"/>
          <w:sz w:val="52"/>
          <w:szCs w:val="52"/>
        </w:rPr>
      </w:pPr>
    </w:p>
    <w:p w:rsidR="00E77840" w:rsidRDefault="00D723D4">
      <w:pPr>
        <w:jc w:val="center"/>
        <w:rPr>
          <w:rFonts w:ascii="黑体" w:eastAsia="黑体" w:hAnsi="黑体"/>
          <w:sz w:val="28"/>
          <w:szCs w:val="28"/>
        </w:rPr>
      </w:pPr>
      <w:r>
        <w:rPr>
          <w:rFonts w:ascii="黑体" w:eastAsia="黑体" w:hAnsi="黑体" w:hint="eastAsia"/>
          <w:sz w:val="28"/>
          <w:szCs w:val="28"/>
        </w:rPr>
        <w:t>《东阿黄河鲤鱼养殖技术规程》编制说明</w:t>
      </w:r>
    </w:p>
    <w:p w:rsidR="00E77840" w:rsidRDefault="00D723D4">
      <w:pPr>
        <w:jc w:val="center"/>
        <w:rPr>
          <w:rFonts w:ascii="黑体" w:eastAsia="黑体" w:hAnsi="黑体"/>
          <w:sz w:val="28"/>
          <w:szCs w:val="28"/>
        </w:rPr>
      </w:pPr>
      <w:r>
        <w:rPr>
          <w:rFonts w:ascii="黑体" w:eastAsia="黑体" w:hAnsi="黑体" w:hint="eastAsia"/>
          <w:sz w:val="28"/>
          <w:szCs w:val="28"/>
        </w:rPr>
        <w:t>（</w:t>
      </w:r>
      <w:r w:rsidR="001F79F6">
        <w:rPr>
          <w:rFonts w:ascii="黑体" w:eastAsia="黑体" w:hAnsi="黑体" w:hint="eastAsia"/>
          <w:sz w:val="28"/>
          <w:szCs w:val="28"/>
        </w:rPr>
        <w:t>征求意见</w:t>
      </w:r>
      <w:r>
        <w:rPr>
          <w:rFonts w:ascii="黑体" w:eastAsia="黑体" w:hAnsi="黑体" w:hint="eastAsia"/>
          <w:sz w:val="28"/>
          <w:szCs w:val="28"/>
        </w:rPr>
        <w:t>稿）</w:t>
      </w:r>
    </w:p>
    <w:p w:rsidR="00E77840" w:rsidRDefault="00E77840">
      <w:pPr>
        <w:jc w:val="center"/>
        <w:rPr>
          <w:rFonts w:ascii="黑体" w:eastAsia="黑体" w:hAnsi="黑体"/>
          <w:sz w:val="28"/>
          <w:szCs w:val="28"/>
        </w:rPr>
      </w:pPr>
    </w:p>
    <w:p w:rsidR="00E77840" w:rsidRDefault="00E77840">
      <w:pPr>
        <w:jc w:val="center"/>
        <w:rPr>
          <w:rFonts w:ascii="黑体" w:eastAsia="黑体" w:hAnsi="黑体"/>
          <w:sz w:val="28"/>
          <w:szCs w:val="28"/>
        </w:rPr>
      </w:pPr>
    </w:p>
    <w:p w:rsidR="00E77840" w:rsidRDefault="00E77840">
      <w:pPr>
        <w:jc w:val="center"/>
        <w:rPr>
          <w:rFonts w:ascii="黑体" w:eastAsia="黑体" w:hAnsi="黑体"/>
          <w:sz w:val="28"/>
          <w:szCs w:val="28"/>
        </w:rPr>
      </w:pPr>
    </w:p>
    <w:p w:rsidR="00E77840" w:rsidRDefault="00E77840">
      <w:pPr>
        <w:jc w:val="center"/>
        <w:rPr>
          <w:rFonts w:ascii="黑体" w:eastAsia="黑体" w:hAnsi="黑体"/>
          <w:sz w:val="28"/>
          <w:szCs w:val="28"/>
        </w:rPr>
      </w:pPr>
    </w:p>
    <w:p w:rsidR="00E77840" w:rsidRDefault="00E77840">
      <w:pPr>
        <w:jc w:val="center"/>
        <w:rPr>
          <w:rFonts w:ascii="黑体" w:eastAsia="黑体" w:hAnsi="黑体"/>
          <w:sz w:val="28"/>
          <w:szCs w:val="28"/>
        </w:rPr>
      </w:pPr>
    </w:p>
    <w:p w:rsidR="00E77840" w:rsidRDefault="00E77840">
      <w:pPr>
        <w:jc w:val="center"/>
        <w:rPr>
          <w:rFonts w:ascii="黑体" w:eastAsia="黑体" w:hAnsi="黑体"/>
          <w:sz w:val="28"/>
          <w:szCs w:val="28"/>
        </w:rPr>
      </w:pPr>
    </w:p>
    <w:p w:rsidR="00E77840" w:rsidRDefault="00E77840">
      <w:pPr>
        <w:jc w:val="center"/>
        <w:rPr>
          <w:rFonts w:ascii="黑体" w:eastAsia="黑体" w:hAnsi="黑体"/>
          <w:sz w:val="28"/>
          <w:szCs w:val="28"/>
        </w:rPr>
      </w:pPr>
    </w:p>
    <w:p w:rsidR="00E77840" w:rsidRDefault="00E77840">
      <w:pPr>
        <w:jc w:val="center"/>
        <w:rPr>
          <w:rFonts w:ascii="黑体" w:eastAsia="黑体" w:hAnsi="黑体"/>
          <w:sz w:val="28"/>
          <w:szCs w:val="28"/>
        </w:rPr>
      </w:pPr>
    </w:p>
    <w:p w:rsidR="00887874" w:rsidRPr="00887874" w:rsidRDefault="00887874" w:rsidP="00887874">
      <w:pPr>
        <w:pStyle w:val="5"/>
        <w:rPr>
          <w:rFonts w:hint="eastAsia"/>
        </w:rPr>
      </w:pPr>
    </w:p>
    <w:p w:rsidR="00E77840" w:rsidRDefault="00E77840">
      <w:pPr>
        <w:jc w:val="center"/>
        <w:rPr>
          <w:rFonts w:ascii="黑体" w:eastAsia="黑体" w:hAnsi="黑体"/>
          <w:sz w:val="28"/>
          <w:szCs w:val="28"/>
        </w:rPr>
      </w:pPr>
    </w:p>
    <w:p w:rsidR="00E77840" w:rsidRDefault="00D723D4">
      <w:pPr>
        <w:jc w:val="center"/>
        <w:rPr>
          <w:rFonts w:ascii="黑体" w:eastAsia="黑体" w:hAnsi="黑体"/>
          <w:sz w:val="28"/>
          <w:szCs w:val="28"/>
        </w:rPr>
      </w:pPr>
      <w:r>
        <w:rPr>
          <w:rFonts w:ascii="黑体" w:eastAsia="黑体" w:hAnsi="黑体" w:hint="eastAsia"/>
          <w:sz w:val="28"/>
          <w:szCs w:val="28"/>
        </w:rPr>
        <w:t>东阿县农业农村局</w:t>
      </w:r>
    </w:p>
    <w:p w:rsidR="00E77840" w:rsidRDefault="00D723D4">
      <w:pPr>
        <w:jc w:val="center"/>
        <w:rPr>
          <w:rFonts w:ascii="黑体" w:eastAsia="黑体" w:hAnsi="黑体"/>
          <w:sz w:val="28"/>
          <w:szCs w:val="28"/>
        </w:rPr>
      </w:pPr>
      <w:r>
        <w:rPr>
          <w:rFonts w:ascii="黑体" w:eastAsia="黑体" w:hAnsi="黑体" w:hint="eastAsia"/>
          <w:sz w:val="28"/>
          <w:szCs w:val="28"/>
        </w:rPr>
        <w:t>东阿县畜牧水产事业发展中心</w:t>
      </w:r>
    </w:p>
    <w:p w:rsidR="00E77840" w:rsidRDefault="00E77840">
      <w:pPr>
        <w:jc w:val="center"/>
        <w:rPr>
          <w:rFonts w:ascii="黑体" w:eastAsia="黑体" w:hAnsi="黑体"/>
          <w:sz w:val="28"/>
          <w:szCs w:val="28"/>
        </w:rPr>
      </w:pPr>
    </w:p>
    <w:p w:rsidR="00E77840" w:rsidRDefault="00E77840">
      <w:pPr>
        <w:pStyle w:val="5"/>
      </w:pPr>
    </w:p>
    <w:p w:rsidR="00E77840" w:rsidRDefault="00D723D4">
      <w:pPr>
        <w:numPr>
          <w:ilvl w:val="0"/>
          <w:numId w:val="3"/>
        </w:numPr>
        <w:spacing w:line="0" w:lineRule="atLeast"/>
        <w:ind w:firstLineChars="200" w:firstLine="560"/>
        <w:rPr>
          <w:b/>
          <w:bCs/>
          <w:sz w:val="28"/>
          <w:szCs w:val="28"/>
        </w:rPr>
      </w:pPr>
      <w:r>
        <w:rPr>
          <w:rFonts w:hint="eastAsia"/>
          <w:b/>
          <w:bCs/>
          <w:sz w:val="28"/>
          <w:szCs w:val="28"/>
        </w:rPr>
        <w:t>工作简况</w:t>
      </w:r>
    </w:p>
    <w:p w:rsidR="00E77840" w:rsidRDefault="00D723D4">
      <w:pPr>
        <w:pStyle w:val="5"/>
        <w:numPr>
          <w:ilvl w:val="0"/>
          <w:numId w:val="4"/>
        </w:numPr>
        <w:spacing w:line="0" w:lineRule="atLeast"/>
        <w:ind w:firstLineChars="200" w:firstLine="560"/>
      </w:pPr>
      <w:r>
        <w:rPr>
          <w:rFonts w:hint="eastAsia"/>
        </w:rPr>
        <w:t>任务来源</w:t>
      </w:r>
    </w:p>
    <w:p w:rsidR="00E77840" w:rsidRDefault="00D723D4">
      <w:pPr>
        <w:spacing w:line="0" w:lineRule="atLeast"/>
        <w:ind w:firstLineChars="200" w:firstLine="420"/>
        <w:rPr>
          <w:rFonts w:ascii="等线" w:eastAsia="等线" w:hAnsi="等线" w:cs="等线"/>
          <w:szCs w:val="21"/>
        </w:rPr>
      </w:pPr>
      <w:r>
        <w:rPr>
          <w:rFonts w:asciiTheme="minorEastAsia" w:hAnsiTheme="minorEastAsia" w:cstheme="minorEastAsia" w:hint="eastAsia"/>
          <w:szCs w:val="21"/>
        </w:rPr>
        <w:t>中渔协</w:t>
      </w:r>
      <w:r>
        <w:rPr>
          <w:rFonts w:ascii="等线" w:eastAsia="等线" w:hAnsi="等线" w:cs="等线" w:hint="eastAsia"/>
          <w:szCs w:val="21"/>
        </w:rPr>
        <w:t>[2021]30号《中国渔业协会关于《东阿黄河鲤鱼养殖技术规范》等八项团体标准立项的通知》中，下达了制定中国渔业协会团体标准的任务。</w:t>
      </w:r>
    </w:p>
    <w:p w:rsidR="00E77840" w:rsidRDefault="00D723D4">
      <w:pPr>
        <w:pStyle w:val="5"/>
        <w:numPr>
          <w:ilvl w:val="0"/>
          <w:numId w:val="4"/>
        </w:numPr>
        <w:spacing w:line="0" w:lineRule="atLeast"/>
        <w:ind w:firstLineChars="200" w:firstLine="562"/>
        <w:rPr>
          <w:rFonts w:ascii="宋体" w:eastAsia="宋体" w:hAnsi="宋体" w:cs="宋体"/>
        </w:rPr>
      </w:pPr>
      <w:r>
        <w:rPr>
          <w:rFonts w:ascii="宋体" w:eastAsia="宋体" w:hAnsi="宋体" w:cs="宋体" w:hint="eastAsia"/>
        </w:rPr>
        <w:t>协作单位</w:t>
      </w:r>
    </w:p>
    <w:p w:rsidR="00E77840" w:rsidRDefault="00D723D4">
      <w:pPr>
        <w:widowControl/>
        <w:ind w:firstLineChars="200" w:firstLine="420"/>
        <w:jc w:val="left"/>
        <w:rPr>
          <w:rFonts w:ascii="宋体" w:hAnsi="宋体" w:cs="宋体"/>
          <w:color w:val="000000"/>
        </w:rPr>
      </w:pPr>
      <w:r>
        <w:rPr>
          <w:rFonts w:ascii="宋体" w:hAnsi="宋体" w:cs="宋体" w:hint="eastAsia"/>
          <w:color w:val="000000"/>
        </w:rPr>
        <w:t>东阿县农业农村局、东阿县畜牧水产事业发展中心、东阿县渔业协会、东阿县绣青水产养殖专业合作社、山东种工渔业发展有限公司、聊城市阿东黄河大鲤鱼餐饮有限公司、东阿县黄河滩渔村餐饮公司、睦邻森（山东）科技信息有限公司、河南省林州市天利渔业养殖场、河南省驻马店市农业农村局、山东省淡水渔业研究院。</w:t>
      </w:r>
    </w:p>
    <w:p w:rsidR="00E77840" w:rsidRDefault="00D723D4">
      <w:pPr>
        <w:pStyle w:val="5"/>
        <w:numPr>
          <w:ilvl w:val="0"/>
          <w:numId w:val="4"/>
        </w:numPr>
        <w:spacing w:line="0" w:lineRule="atLeast"/>
        <w:ind w:firstLineChars="200" w:firstLine="562"/>
        <w:rPr>
          <w:rFonts w:ascii="宋体" w:eastAsia="宋体" w:hAnsi="宋体" w:cs="宋体"/>
        </w:rPr>
      </w:pPr>
      <w:r>
        <w:rPr>
          <w:rFonts w:ascii="宋体" w:eastAsia="宋体" w:hAnsi="宋体" w:cs="宋体" w:hint="eastAsia"/>
        </w:rPr>
        <w:t>主要工作过程</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接到修订</w:t>
      </w:r>
      <w:r>
        <w:rPr>
          <w:rFonts w:ascii="等线" w:eastAsia="等线" w:hAnsi="等线" w:cs="等线" w:hint="eastAsia"/>
          <w:szCs w:val="21"/>
        </w:rPr>
        <w:t>《东阿黄河鲤鱼养殖技术规范》团</w:t>
      </w:r>
      <w:r>
        <w:rPr>
          <w:rFonts w:asciiTheme="minorEastAsia" w:hAnsiTheme="minorEastAsia" w:cstheme="minorEastAsia" w:hint="eastAsia"/>
          <w:szCs w:val="21"/>
        </w:rPr>
        <w:t>体标准的任务后，</w:t>
      </w:r>
      <w:r>
        <w:rPr>
          <w:rFonts w:ascii="宋体" w:hAnsi="宋体" w:cs="宋体" w:hint="eastAsia"/>
          <w:color w:val="000000"/>
        </w:rPr>
        <w:t>东阿县农业农村局</w:t>
      </w:r>
      <w:r>
        <w:rPr>
          <w:rFonts w:asciiTheme="minorEastAsia" w:hAnsiTheme="minorEastAsia" w:cstheme="minorEastAsia" w:hint="eastAsia"/>
          <w:szCs w:val="21"/>
        </w:rPr>
        <w:t>立即成立了由多名常年从事养殖、管理等工作，并具有制修订标准经验的专业人员组成的标准起草小组。为使本标准科学、规范、务实、易行，修订小组广泛咨询了有关养殖单位、水产科研机构、科研院校以及相关渔业行政主管部门等，听取了标准修订的意见建议。在深入调研的基础上，起草小组根据GB/T 1.1-2020《标准化工作导则 第1部分：标准化文件的结构和起草规则》、GB/T20001.6-2017《标准编写规则 第6部分：规程标准》等系列标准的规定，结合目前东阿黄河鲤鱼养殖生产实践经验编制了《东阿黄河鲤鱼养殖技术规范（草案稿）》。</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2021年7月3</w:t>
      </w:r>
      <w:r>
        <w:rPr>
          <w:rFonts w:asciiTheme="minorEastAsia" w:hAnsiTheme="minorEastAsia" w:cstheme="minorEastAsia"/>
          <w:szCs w:val="21"/>
        </w:rPr>
        <w:t>1</w:t>
      </w:r>
      <w:r>
        <w:rPr>
          <w:rFonts w:asciiTheme="minorEastAsia" w:hAnsiTheme="minorEastAsia" w:cstheme="minorEastAsia" w:hint="eastAsia"/>
          <w:szCs w:val="21"/>
        </w:rPr>
        <w:t>号，中国渔业协会召开了团体标准立项评审会，邀请相关专家对《东阿黄河鲤鱼养殖技术规范（草案稿）》进行了立项评审并提出了修改意见：</w:t>
      </w:r>
    </w:p>
    <w:p w:rsidR="00E77840" w:rsidRDefault="00D723D4">
      <w:pPr>
        <w:spacing w:line="0" w:lineRule="atLeast"/>
        <w:ind w:firstLineChars="200" w:firstLine="420"/>
        <w:jc w:val="left"/>
      </w:pPr>
      <w:r>
        <w:rPr>
          <w:rFonts w:asciiTheme="minorEastAsia" w:hAnsiTheme="minorEastAsia" w:cstheme="minorEastAsia" w:hint="eastAsia"/>
          <w:szCs w:val="21"/>
        </w:rPr>
        <w:t>1.对引用标准进行检查排序；删减引用标准，突出文字表述，增加阅读理解直观性；</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szCs w:val="21"/>
        </w:rPr>
        <w:t>.</w:t>
      </w:r>
      <w:r>
        <w:rPr>
          <w:rFonts w:asciiTheme="minorEastAsia" w:hAnsiTheme="minorEastAsia" w:cstheme="minorEastAsia" w:hint="eastAsia"/>
          <w:szCs w:val="21"/>
        </w:rPr>
        <w:t>建议修改标准名称，摸排东阿黄河鲤鱼养殖情况，将相关企业纳入起草组；</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3</w:t>
      </w:r>
      <w:r>
        <w:rPr>
          <w:rFonts w:asciiTheme="minorEastAsia" w:hAnsiTheme="minorEastAsia" w:cstheme="minorEastAsia"/>
          <w:szCs w:val="21"/>
        </w:rPr>
        <w:t>.</w:t>
      </w:r>
      <w:r>
        <w:rPr>
          <w:rFonts w:asciiTheme="minorEastAsia" w:hAnsiTheme="minorEastAsia" w:cstheme="minorEastAsia" w:hint="eastAsia"/>
          <w:szCs w:val="21"/>
        </w:rPr>
        <w:t>微生物制剂不宜体现；</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4.核实标准是否牵扯到专利；</w:t>
      </w:r>
    </w:p>
    <w:p w:rsidR="00E77840" w:rsidRDefault="00D723D4">
      <w:pPr>
        <w:ind w:firstLineChars="200" w:firstLine="420"/>
        <w:rPr>
          <w:rFonts w:ascii="仿宋" w:eastAsia="仿宋" w:hAnsi="仿宋" w:cs="仿宋"/>
          <w:sz w:val="32"/>
          <w:szCs w:val="32"/>
        </w:rPr>
      </w:pPr>
      <w:r>
        <w:rPr>
          <w:rFonts w:asciiTheme="minorEastAsia" w:hAnsiTheme="minorEastAsia" w:cstheme="minorEastAsia" w:hint="eastAsia"/>
          <w:szCs w:val="21"/>
        </w:rPr>
        <w:t>5.强化</w:t>
      </w:r>
      <w:r>
        <w:rPr>
          <w:rFonts w:ascii="等线" w:eastAsia="等线" w:hAnsi="等线" w:cs="等线" w:hint="eastAsia"/>
          <w:szCs w:val="21"/>
        </w:rPr>
        <w:t>标准规定指导意义，突出东阿黄河鲤鱼主打特色和高质量管理程序；</w:t>
      </w:r>
    </w:p>
    <w:p w:rsidR="00E77840" w:rsidRDefault="00D723D4">
      <w:pPr>
        <w:spacing w:line="0" w:lineRule="atLeast"/>
        <w:ind w:firstLineChars="200" w:firstLine="420"/>
        <w:jc w:val="left"/>
      </w:pPr>
      <w:r>
        <w:rPr>
          <w:rFonts w:asciiTheme="minorEastAsia" w:hAnsiTheme="minorEastAsia" w:cstheme="minorEastAsia" w:hint="eastAsia"/>
          <w:szCs w:val="21"/>
        </w:rPr>
        <w:t>6.</w:t>
      </w:r>
      <w:r>
        <w:rPr>
          <w:rFonts w:ascii="等线" w:eastAsia="等线" w:hAnsi="等线" w:cs="等线" w:hint="eastAsia"/>
          <w:szCs w:val="21"/>
        </w:rPr>
        <w:t>规避时代性语言。</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szCs w:val="21"/>
        </w:rPr>
        <w:t>021</w:t>
      </w:r>
      <w:r>
        <w:rPr>
          <w:rFonts w:asciiTheme="minorEastAsia" w:hAnsiTheme="minorEastAsia" w:cstheme="minorEastAsia" w:hint="eastAsia"/>
          <w:szCs w:val="21"/>
        </w:rPr>
        <w:t>年8月5日，中国渔业协会发布《中国渔业协会关于《东阿黄河鲤鱼养殖技术规范》等八项团体标准立项的通知》（中渔协[</w:t>
      </w:r>
      <w:r>
        <w:rPr>
          <w:rFonts w:asciiTheme="minorEastAsia" w:hAnsiTheme="minorEastAsia" w:cstheme="minorEastAsia"/>
          <w:szCs w:val="21"/>
        </w:rPr>
        <w:t>2021]30</w:t>
      </w:r>
      <w:r>
        <w:rPr>
          <w:rFonts w:asciiTheme="minorEastAsia" w:hAnsiTheme="minorEastAsia" w:cstheme="minorEastAsia" w:hint="eastAsia"/>
          <w:szCs w:val="21"/>
        </w:rPr>
        <w:t>号），《东阿黄河鲤鱼养殖技术规范》经审查符合立项条件，并同意以《东阿黄河鲤鱼养殖技术规程》予以立项。</w:t>
      </w:r>
    </w:p>
    <w:p w:rsidR="00E77840" w:rsidRDefault="00D723D4" w:rsidP="001F79F6">
      <w:pPr>
        <w:spacing w:line="0" w:lineRule="atLeast"/>
        <w:ind w:firstLineChars="200" w:firstLine="420"/>
        <w:jc w:val="left"/>
      </w:pPr>
      <w:r>
        <w:rPr>
          <w:rFonts w:asciiTheme="minorEastAsia" w:hAnsiTheme="minorEastAsia" w:cstheme="minorEastAsia" w:hint="eastAsia"/>
          <w:szCs w:val="21"/>
        </w:rPr>
        <w:t>标准起草小组根据专家提出的意见进行总结修改，</w:t>
      </w:r>
      <w:r>
        <w:rPr>
          <w:rFonts w:hint="eastAsia"/>
        </w:rPr>
        <w:t>于2</w:t>
      </w:r>
      <w:r>
        <w:t>021</w:t>
      </w:r>
      <w:r>
        <w:rPr>
          <w:rFonts w:hint="eastAsia"/>
        </w:rPr>
        <w:t>年1</w:t>
      </w:r>
      <w:r>
        <w:t>2</w:t>
      </w:r>
      <w:r>
        <w:rPr>
          <w:rFonts w:hint="eastAsia"/>
        </w:rPr>
        <w:t>月25日提报</w:t>
      </w:r>
      <w:r>
        <w:rPr>
          <w:rFonts w:asciiTheme="minorEastAsia" w:hAnsiTheme="minorEastAsia" w:cstheme="minorEastAsia" w:hint="eastAsia"/>
          <w:szCs w:val="21"/>
        </w:rPr>
        <w:t>《东阿黄河鲤鱼养殖技术规程》。</w:t>
      </w:r>
    </w:p>
    <w:p w:rsidR="00E77840" w:rsidRDefault="00D723D4">
      <w:pPr>
        <w:pStyle w:val="5"/>
        <w:numPr>
          <w:ilvl w:val="0"/>
          <w:numId w:val="4"/>
        </w:numPr>
        <w:spacing w:line="0" w:lineRule="atLeast"/>
        <w:ind w:firstLineChars="200" w:firstLine="562"/>
        <w:rPr>
          <w:rFonts w:ascii="宋体" w:eastAsia="宋体" w:hAnsi="宋体" w:cs="宋体"/>
        </w:rPr>
      </w:pPr>
      <w:r>
        <w:rPr>
          <w:rFonts w:ascii="宋体" w:eastAsia="宋体" w:hAnsi="宋体" w:cs="宋体"/>
        </w:rPr>
        <w:t>标准主要起草人及其所做工作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 xml:space="preserve">梁瑞青： </w:t>
      </w:r>
      <w:r>
        <w:rPr>
          <w:rFonts w:asciiTheme="minorEastAsia" w:hAnsiTheme="minorEastAsia" w:cstheme="minorEastAsia"/>
          <w:szCs w:val="21"/>
        </w:rPr>
        <w:t>主持调查研究、标准内容设计、标准起草和修改等全部工作；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 xml:space="preserve">冯  森： </w:t>
      </w:r>
      <w:r>
        <w:rPr>
          <w:rFonts w:asciiTheme="minorEastAsia" w:hAnsiTheme="minorEastAsia" w:cstheme="minorEastAsia"/>
          <w:szCs w:val="21"/>
        </w:rPr>
        <w:t>主持调查研究、标准内容设计、标准起草和修改等全部工作；</w:t>
      </w:r>
      <w:r>
        <w:rPr>
          <w:rFonts w:asciiTheme="minorEastAsia" w:hAnsiTheme="minorEastAsia" w:cstheme="minorEastAsia" w:hint="eastAsia"/>
          <w:szCs w:val="21"/>
        </w:rPr>
        <w:t>负责标准讨论稿和送审稿统一整理、编制工作；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lastRenderedPageBreak/>
        <w:t>宗兆良：</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腾兴华：</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郎言所：</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吴春芝：</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王昕欣：</w:t>
      </w:r>
      <w:r>
        <w:rPr>
          <w:rFonts w:asciiTheme="minorEastAsia" w:hAnsiTheme="minorEastAsia" w:cstheme="minorEastAsia"/>
          <w:szCs w:val="21"/>
        </w:rPr>
        <w:t>参与调查研究、</w:t>
      </w:r>
      <w:r>
        <w:rPr>
          <w:rFonts w:asciiTheme="minorEastAsia" w:hAnsiTheme="minorEastAsia" w:cstheme="minorEastAsia" w:hint="eastAsia"/>
          <w:szCs w:val="21"/>
        </w:rPr>
        <w:t>参与标准修改</w:t>
      </w:r>
      <w:r>
        <w:rPr>
          <w:rFonts w:asciiTheme="minorEastAsia" w:hAnsiTheme="minorEastAsia" w:cstheme="minorEastAsia"/>
          <w:szCs w:val="21"/>
        </w:rPr>
        <w:t>；</w:t>
      </w:r>
      <w:r>
        <w:rPr>
          <w:rFonts w:asciiTheme="minorEastAsia" w:hAnsiTheme="minorEastAsia" w:cstheme="minorEastAsia" w:hint="eastAsia"/>
          <w:szCs w:val="21"/>
        </w:rPr>
        <w:t xml:space="preserve">  </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卓  然：</w:t>
      </w:r>
      <w:r>
        <w:rPr>
          <w:rFonts w:asciiTheme="minorEastAsia" w:hAnsiTheme="minorEastAsia" w:cstheme="minorEastAsia"/>
          <w:szCs w:val="21"/>
        </w:rPr>
        <w:t>参与调查研究、资料</w:t>
      </w:r>
      <w:r>
        <w:rPr>
          <w:rFonts w:asciiTheme="minorEastAsia" w:hAnsiTheme="minorEastAsia" w:cstheme="minorEastAsia" w:hint="eastAsia"/>
          <w:szCs w:val="21"/>
        </w:rPr>
        <w:t>编制</w:t>
      </w:r>
      <w:r>
        <w:rPr>
          <w:rFonts w:asciiTheme="minorEastAsia" w:hAnsiTheme="minorEastAsia" w:cstheme="minorEastAsia"/>
          <w:szCs w:val="21"/>
        </w:rPr>
        <w:t>等工作</w:t>
      </w:r>
      <w:r>
        <w:rPr>
          <w:rFonts w:asciiTheme="minorEastAsia" w:hAnsiTheme="minorEastAsia" w:cstheme="minorEastAsia" w:hint="eastAsia"/>
          <w:szCs w:val="21"/>
        </w:rPr>
        <w:t>；</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邱德英：</w:t>
      </w:r>
      <w:r>
        <w:rPr>
          <w:rFonts w:asciiTheme="minorEastAsia" w:hAnsiTheme="minorEastAsia" w:cstheme="minorEastAsia"/>
          <w:szCs w:val="21"/>
        </w:rPr>
        <w:t>参与调查研究、资料收集等工作；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冯永顺：</w:t>
      </w:r>
      <w:r>
        <w:rPr>
          <w:rFonts w:asciiTheme="minorEastAsia" w:hAnsiTheme="minorEastAsia" w:cstheme="minorEastAsia"/>
          <w:szCs w:val="21"/>
        </w:rPr>
        <w:t>参与调查研究、资料收集等工作；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刘  磊：</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 xml:space="preserve">  </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高  健：</w:t>
      </w:r>
      <w:r>
        <w:rPr>
          <w:rFonts w:asciiTheme="minorEastAsia" w:hAnsiTheme="minorEastAsia" w:cstheme="minorEastAsia"/>
          <w:szCs w:val="21"/>
        </w:rPr>
        <w:t>参与调查研究、资料收集等工作；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宫一太：</w:t>
      </w:r>
      <w:r>
        <w:rPr>
          <w:rFonts w:asciiTheme="minorEastAsia" w:hAnsiTheme="minorEastAsia" w:cstheme="minorEastAsia"/>
          <w:szCs w:val="21"/>
        </w:rPr>
        <w:t>参与调查研究、资料收集等工作；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赵庆涛：</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 xml:space="preserve"> </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刘怀龙：</w:t>
      </w:r>
      <w:r>
        <w:rPr>
          <w:rFonts w:asciiTheme="minorEastAsia" w:hAnsiTheme="minorEastAsia" w:cstheme="minorEastAsia"/>
          <w:szCs w:val="21"/>
        </w:rPr>
        <w:t>参与调查研究、资料收集等工作；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王  强：</w:t>
      </w:r>
      <w:r>
        <w:rPr>
          <w:rFonts w:asciiTheme="minorEastAsia" w:hAnsiTheme="minorEastAsia" w:cstheme="minorEastAsia"/>
          <w:szCs w:val="21"/>
        </w:rPr>
        <w:t>参与调查研究、资料收集等工作；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徐洪明：</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 xml:space="preserve"> </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陈笑冰：</w:t>
      </w:r>
      <w:r>
        <w:rPr>
          <w:rFonts w:asciiTheme="minorEastAsia" w:hAnsiTheme="minorEastAsia" w:cstheme="minorEastAsia"/>
          <w:szCs w:val="21"/>
        </w:rPr>
        <w:t>参与调查研究、资料收集等工作；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闫守川：</w:t>
      </w:r>
      <w:r>
        <w:rPr>
          <w:rFonts w:asciiTheme="minorEastAsia" w:hAnsiTheme="minorEastAsia" w:cstheme="minorEastAsia"/>
          <w:szCs w:val="21"/>
        </w:rPr>
        <w:t>参与调查研究、资料收集等工作；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扈培河：</w:t>
      </w:r>
      <w:r>
        <w:rPr>
          <w:rFonts w:asciiTheme="minorEastAsia" w:hAnsiTheme="minorEastAsia" w:cstheme="minorEastAsia"/>
          <w:szCs w:val="21"/>
        </w:rPr>
        <w:t>参与调查研究、资料收集等工作；</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种永常：</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王乐平：</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张爱东：</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王德友：</w:t>
      </w:r>
      <w:r>
        <w:rPr>
          <w:rFonts w:asciiTheme="minorEastAsia" w:hAnsiTheme="minorEastAsia" w:cstheme="minorEastAsia"/>
          <w:szCs w:val="21"/>
        </w:rPr>
        <w:t>参与调查研究、资料收集等工作</w:t>
      </w:r>
      <w:r>
        <w:rPr>
          <w:rFonts w:asciiTheme="minorEastAsia" w:hAnsiTheme="minorEastAsia" w:cstheme="minorEastAsia" w:hint="eastAsia"/>
          <w:szCs w:val="21"/>
        </w:rPr>
        <w:t>。</w:t>
      </w:r>
    </w:p>
    <w:p w:rsidR="00E77840" w:rsidRDefault="00E77840">
      <w:pPr>
        <w:spacing w:line="0" w:lineRule="atLeast"/>
        <w:ind w:firstLineChars="200" w:firstLine="420"/>
        <w:jc w:val="left"/>
      </w:pPr>
    </w:p>
    <w:p w:rsidR="00E77840" w:rsidRDefault="00D723D4">
      <w:pPr>
        <w:pStyle w:val="5"/>
        <w:numPr>
          <w:ilvl w:val="0"/>
          <w:numId w:val="3"/>
        </w:numPr>
        <w:spacing w:line="0" w:lineRule="atLeast"/>
        <w:ind w:firstLineChars="200" w:firstLine="560"/>
      </w:pPr>
      <w:r>
        <w:rPr>
          <w:rFonts w:hint="eastAsia"/>
        </w:rPr>
        <w:t>标准编制原则和确定标准主要内容（如技术指标、参数、公式、性能要求、试验方法、检验规则等）的论据（包括试验、统计数据），修订标准时，应增列新旧标准水平的对比</w:t>
      </w:r>
    </w:p>
    <w:p w:rsidR="00E77840" w:rsidRDefault="00D723D4">
      <w:pPr>
        <w:pStyle w:val="a6"/>
        <w:numPr>
          <w:ilvl w:val="0"/>
          <w:numId w:val="5"/>
        </w:numPr>
        <w:adjustRightInd w:val="0"/>
        <w:snapToGrid w:val="0"/>
        <w:spacing w:beforeLines="50" w:before="156" w:afterLines="50" w:after="156" w:line="276" w:lineRule="auto"/>
        <w:ind w:left="357" w:right="28" w:firstLineChars="200" w:firstLine="420"/>
        <w:rPr>
          <w:rFonts w:eastAsia="黑体"/>
          <w:bCs/>
          <w:sz w:val="21"/>
          <w:szCs w:val="21"/>
        </w:rPr>
      </w:pPr>
      <w:r>
        <w:rPr>
          <w:rFonts w:eastAsia="黑体" w:hint="eastAsia"/>
          <w:bCs/>
          <w:sz w:val="21"/>
          <w:szCs w:val="21"/>
        </w:rPr>
        <w:t>标准</w:t>
      </w:r>
      <w:r>
        <w:rPr>
          <w:rFonts w:eastAsia="黑体"/>
          <w:bCs/>
          <w:sz w:val="21"/>
          <w:szCs w:val="21"/>
        </w:rPr>
        <w:t>编制的原则</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szCs w:val="21"/>
        </w:rPr>
        <w:t>本标准按照GB/T 1.1-2020标准化工作导则的要求编写。共分</w:t>
      </w:r>
      <w:r>
        <w:rPr>
          <w:rFonts w:asciiTheme="minorEastAsia" w:hAnsiTheme="minorEastAsia" w:cstheme="minorEastAsia" w:hint="eastAsia"/>
          <w:szCs w:val="21"/>
        </w:rPr>
        <w:t>12</w:t>
      </w:r>
      <w:r>
        <w:rPr>
          <w:rFonts w:asciiTheme="minorEastAsia" w:hAnsiTheme="minorEastAsia" w:cstheme="minorEastAsia"/>
          <w:szCs w:val="21"/>
        </w:rPr>
        <w:t>章，即：（1）范围；（2）规范性引用文件；（3）术语</w:t>
      </w:r>
      <w:r>
        <w:rPr>
          <w:rFonts w:asciiTheme="minorEastAsia" w:hAnsiTheme="minorEastAsia" w:cstheme="minorEastAsia" w:hint="eastAsia"/>
          <w:szCs w:val="21"/>
        </w:rPr>
        <w:t>和定义</w:t>
      </w:r>
      <w:r>
        <w:rPr>
          <w:rFonts w:asciiTheme="minorEastAsia" w:hAnsiTheme="minorEastAsia" w:cstheme="minorEastAsia"/>
          <w:szCs w:val="21"/>
        </w:rPr>
        <w:t>；（4）</w:t>
      </w:r>
      <w:r>
        <w:rPr>
          <w:rFonts w:asciiTheme="minorEastAsia" w:hAnsiTheme="minorEastAsia" w:cstheme="minorEastAsia" w:hint="eastAsia"/>
          <w:szCs w:val="21"/>
        </w:rPr>
        <w:t>环境条件</w:t>
      </w:r>
      <w:r>
        <w:rPr>
          <w:rFonts w:asciiTheme="minorEastAsia" w:hAnsiTheme="minorEastAsia" w:cstheme="minorEastAsia"/>
          <w:szCs w:val="21"/>
        </w:rPr>
        <w:t>；（5）</w:t>
      </w:r>
      <w:r>
        <w:rPr>
          <w:rFonts w:asciiTheme="minorEastAsia" w:hAnsiTheme="minorEastAsia" w:cstheme="minorEastAsia" w:hint="eastAsia"/>
          <w:szCs w:val="21"/>
        </w:rPr>
        <w:t>苗种放养</w:t>
      </w:r>
      <w:r>
        <w:rPr>
          <w:rFonts w:asciiTheme="minorEastAsia" w:hAnsiTheme="minorEastAsia" w:cstheme="minorEastAsia"/>
          <w:szCs w:val="21"/>
        </w:rPr>
        <w:t>；（6）</w:t>
      </w:r>
      <w:r>
        <w:rPr>
          <w:rFonts w:asciiTheme="minorEastAsia" w:hAnsiTheme="minorEastAsia" w:cstheme="minorEastAsia" w:hint="eastAsia"/>
          <w:szCs w:val="21"/>
        </w:rPr>
        <w:t>水质调控</w:t>
      </w:r>
      <w:r>
        <w:rPr>
          <w:rFonts w:asciiTheme="minorEastAsia" w:hAnsiTheme="minorEastAsia" w:cstheme="minorEastAsia"/>
          <w:szCs w:val="21"/>
        </w:rPr>
        <w:t>；（7）</w:t>
      </w:r>
      <w:r>
        <w:rPr>
          <w:rFonts w:asciiTheme="minorEastAsia" w:hAnsiTheme="minorEastAsia" w:cstheme="minorEastAsia" w:hint="eastAsia"/>
          <w:szCs w:val="21"/>
        </w:rPr>
        <w:t>日常管理</w:t>
      </w:r>
      <w:r>
        <w:rPr>
          <w:rFonts w:asciiTheme="minorEastAsia" w:hAnsiTheme="minorEastAsia" w:cstheme="minorEastAsia"/>
          <w:szCs w:val="21"/>
        </w:rPr>
        <w:t>；（8）</w:t>
      </w:r>
      <w:r>
        <w:rPr>
          <w:rFonts w:asciiTheme="minorEastAsia" w:hAnsiTheme="minorEastAsia" w:cstheme="minorEastAsia" w:hint="eastAsia"/>
          <w:szCs w:val="21"/>
        </w:rPr>
        <w:t>病害防控</w:t>
      </w:r>
      <w:r>
        <w:rPr>
          <w:rFonts w:asciiTheme="minorEastAsia" w:hAnsiTheme="minorEastAsia" w:cstheme="minorEastAsia"/>
          <w:szCs w:val="21"/>
        </w:rPr>
        <w:t>；（9）</w:t>
      </w:r>
      <w:r>
        <w:rPr>
          <w:rFonts w:asciiTheme="minorEastAsia" w:hAnsiTheme="minorEastAsia" w:cstheme="minorEastAsia" w:hint="eastAsia"/>
          <w:szCs w:val="21"/>
        </w:rPr>
        <w:t>捕捞；（10）净养；（11）运输；(12 )质量追溯。</w:t>
      </w:r>
      <w:r>
        <w:rPr>
          <w:rFonts w:asciiTheme="minorEastAsia" w:hAnsiTheme="minorEastAsia" w:cstheme="minorEastAsia"/>
          <w:szCs w:val="21"/>
        </w:rPr>
        <w:t xml:space="preserve"> </w:t>
      </w:r>
    </w:p>
    <w:p w:rsidR="00E77840" w:rsidRDefault="00D723D4">
      <w:pPr>
        <w:spacing w:line="0" w:lineRule="atLeast"/>
        <w:ind w:firstLineChars="200" w:firstLine="420"/>
        <w:jc w:val="left"/>
        <w:rPr>
          <w:rFonts w:asciiTheme="minorEastAsia" w:hAnsiTheme="minorEastAsia" w:cstheme="minorEastAsia"/>
          <w:szCs w:val="21"/>
        </w:rPr>
      </w:pPr>
      <w:r>
        <w:rPr>
          <w:rFonts w:eastAsia="黑体" w:hint="eastAsia"/>
          <w:bCs/>
          <w:szCs w:val="21"/>
        </w:rPr>
        <w:t>2.</w:t>
      </w:r>
      <w:r>
        <w:rPr>
          <w:rFonts w:eastAsia="黑体" w:hint="eastAsia"/>
          <w:bCs/>
          <w:szCs w:val="21"/>
        </w:rPr>
        <w:t>标准制定</w:t>
      </w:r>
      <w:r>
        <w:rPr>
          <w:rFonts w:eastAsia="黑体"/>
          <w:bCs/>
          <w:szCs w:val="21"/>
        </w:rPr>
        <w:t>的原则</w:t>
      </w:r>
      <w:r>
        <w:rPr>
          <w:rFonts w:eastAsia="黑体" w:hint="eastAsia"/>
          <w:bCs/>
          <w:szCs w:val="21"/>
        </w:rPr>
        <w:t>如下：</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（1）严格遵循国家有关政策、法律法规等。</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（2）严格按照GB/T 1.1-2020有关规定起草。</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（3）结合东阿黄河鲤鱼生产实践，以提高产品产量为目标，对东阿黄河鲤鱼孵化、苗种培育养殖全过程进行规范。</w:t>
      </w:r>
    </w:p>
    <w:p w:rsidR="00E77840" w:rsidRDefault="00D723D4">
      <w:pPr>
        <w:spacing w:line="0" w:lineRule="atLeast"/>
        <w:ind w:firstLineChars="200" w:firstLine="420"/>
        <w:jc w:val="left"/>
      </w:pPr>
      <w:r>
        <w:rPr>
          <w:rFonts w:asciiTheme="minorEastAsia" w:hAnsiTheme="minorEastAsia" w:cstheme="minorEastAsia" w:hint="eastAsia"/>
          <w:szCs w:val="21"/>
        </w:rPr>
        <w:t>（4）本标准修定过程中遵循三大原则:一是科学性和规范性;二是可操作性，有利于开展生产;三是与国家的标准相接轨。</w:t>
      </w:r>
    </w:p>
    <w:p w:rsidR="00E77840" w:rsidRDefault="00D723D4">
      <w:pPr>
        <w:pStyle w:val="a6"/>
        <w:numPr>
          <w:ilvl w:val="0"/>
          <w:numId w:val="5"/>
        </w:numPr>
        <w:adjustRightInd w:val="0"/>
        <w:snapToGrid w:val="0"/>
        <w:spacing w:beforeLines="50" w:before="156" w:afterLines="50" w:after="156" w:line="276" w:lineRule="auto"/>
        <w:ind w:left="357" w:right="28" w:firstLineChars="200" w:firstLine="420"/>
        <w:rPr>
          <w:rFonts w:eastAsia="黑体"/>
          <w:sz w:val="21"/>
          <w:szCs w:val="21"/>
        </w:rPr>
      </w:pPr>
      <w:r>
        <w:rPr>
          <w:rFonts w:eastAsia="黑体"/>
          <w:bCs/>
          <w:sz w:val="21"/>
          <w:szCs w:val="21"/>
        </w:rPr>
        <w:t>确定标准主要内容的</w:t>
      </w:r>
      <w:r>
        <w:rPr>
          <w:rFonts w:eastAsia="黑体" w:hint="eastAsia"/>
          <w:bCs/>
          <w:sz w:val="21"/>
          <w:szCs w:val="21"/>
        </w:rPr>
        <w:t>论</w:t>
      </w:r>
      <w:r>
        <w:rPr>
          <w:rFonts w:eastAsia="黑体"/>
          <w:bCs/>
          <w:sz w:val="21"/>
          <w:szCs w:val="21"/>
        </w:rPr>
        <w:t>据</w:t>
      </w:r>
    </w:p>
    <w:p w:rsidR="00E77840" w:rsidRDefault="00D723D4">
      <w:pPr>
        <w:pStyle w:val="a0"/>
        <w:numPr>
          <w:ilvl w:val="1"/>
          <w:numId w:val="0"/>
        </w:numPr>
        <w:spacing w:beforeLines="50" w:before="156" w:afterLines="50" w:after="156"/>
        <w:ind w:firstLineChars="200" w:firstLine="420"/>
      </w:pPr>
      <w:r>
        <w:rPr>
          <w:rFonts w:hint="eastAsia"/>
        </w:rPr>
        <w:t>1  环境条件</w:t>
      </w:r>
    </w:p>
    <w:p w:rsidR="00E77840" w:rsidRDefault="00D723D4">
      <w:pPr>
        <w:pStyle w:val="ac"/>
        <w:ind w:firstLine="420"/>
        <w:rPr>
          <w:rFonts w:ascii="等线" w:eastAsia="等线" w:hAnsi="等线" w:cs="等线"/>
        </w:rPr>
      </w:pPr>
      <w:r>
        <w:rPr>
          <w:rFonts w:ascii="等线" w:eastAsia="等线" w:hAnsi="等线" w:cs="等线" w:hint="eastAsia"/>
          <w:szCs w:val="21"/>
        </w:rPr>
        <w:t>优良的环境是养殖成败的基础，为保证生产过程有个优良的环境，本标准引用了已发布标准NY 5361的规定，该标准对产地选择、产地环境保护、水质和底质提出了要求，可以满足生产的需要。由于本标准规范的是品牌化条件下东阿黄河鲤鱼养殖技术，因此给出了“</w:t>
      </w:r>
      <w:r>
        <w:rPr>
          <w:rFonts w:ascii="等线" w:eastAsia="等线" w:hAnsi="等线" w:cs="等线" w:hint="eastAsia"/>
        </w:rPr>
        <w:t>宜</w:t>
      </w:r>
      <w:r>
        <w:rPr>
          <w:rFonts w:ascii="等线" w:eastAsia="等线" w:hAnsi="等线" w:cs="等线" w:hint="eastAsia"/>
        </w:rPr>
        <w:lastRenderedPageBreak/>
        <w:t>以东阿地下水为主，黄河水为辅。应符合GB 5749 或GB 11607的要求</w:t>
      </w:r>
      <w:r>
        <w:rPr>
          <w:rFonts w:ascii="等线" w:eastAsia="等线" w:hAnsi="等线" w:cs="等线" w:hint="eastAsia"/>
          <w:szCs w:val="21"/>
        </w:rPr>
        <w:t xml:space="preserve"> ”的规定，另外规定了“池塘结构、附属设施、排放水处理”以符合生产条件，满足环保要求。</w:t>
      </w:r>
    </w:p>
    <w:p w:rsidR="00E77840" w:rsidRDefault="00D723D4">
      <w:pPr>
        <w:pStyle w:val="ac"/>
        <w:ind w:firstLine="420"/>
        <w:rPr>
          <w:rFonts w:ascii="黑体" w:eastAsia="黑体"/>
        </w:rPr>
      </w:pPr>
      <w:r>
        <w:rPr>
          <w:rFonts w:hint="eastAsia"/>
        </w:rPr>
        <w:t xml:space="preserve">2 </w:t>
      </w:r>
      <w:r>
        <w:rPr>
          <w:rFonts w:ascii="黑体" w:eastAsia="黑体" w:hint="eastAsia"/>
        </w:rPr>
        <w:t xml:space="preserve"> 苗种放养</w:t>
      </w:r>
    </w:p>
    <w:p w:rsidR="00E77840" w:rsidRDefault="00D723D4">
      <w:pPr>
        <w:ind w:firstLineChars="200" w:firstLine="420"/>
        <w:rPr>
          <w:rFonts w:ascii="黑体" w:eastAsia="黑体" w:hAnsi="Times New Roman" w:cs="Times New Roman"/>
          <w:bCs/>
          <w:kern w:val="0"/>
          <w:szCs w:val="20"/>
        </w:rPr>
      </w:pPr>
      <w:r>
        <w:rPr>
          <w:rFonts w:ascii="黑体" w:eastAsia="黑体" w:hAnsi="Times New Roman" w:cs="Times New Roman" w:hint="eastAsia"/>
          <w:bCs/>
          <w:kern w:val="0"/>
          <w:szCs w:val="20"/>
        </w:rPr>
        <w:t>（1）放养前的准备</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鲤鱼苗种直接从东阿黄河鲤省级良种场直接引进。外购鱼种须从定点培育并经检疫合格场家引进。强调了检验检疫的重要性。放养前7d～10d，需进行池塘清整、维护。干塘消毒使用生石灰2250kg/h</w:t>
      </w:r>
      <w:r>
        <w:rPr>
          <w:rFonts w:asciiTheme="minorEastAsia" w:hAnsiTheme="minorEastAsia" w:cstheme="minorEastAsia" w:hint="eastAsia"/>
          <w:szCs w:val="21"/>
        </w:rPr>
        <w:t>m</w:t>
      </w:r>
      <w:r>
        <w:rPr>
          <w:rFonts w:asciiTheme="minorEastAsia" w:hAnsiTheme="minorEastAsia" w:cstheme="minorEastAsia" w:hint="eastAsia"/>
          <w:szCs w:val="21"/>
          <w:vertAlign w:val="superscript"/>
        </w:rPr>
        <w:t>2</w:t>
      </w:r>
      <w:r>
        <w:rPr>
          <w:rFonts w:ascii="等线" w:eastAsia="等线" w:hAnsi="等线" w:cs="等线" w:hint="eastAsia"/>
          <w:color w:val="000000"/>
        </w:rPr>
        <w:t>、有效氯30%或漂白粉120～150kg/h</w:t>
      </w:r>
      <w:r>
        <w:rPr>
          <w:rFonts w:asciiTheme="minorEastAsia" w:hAnsiTheme="minorEastAsia" w:cstheme="minorEastAsia" w:hint="eastAsia"/>
          <w:szCs w:val="21"/>
        </w:rPr>
        <w:t>m</w:t>
      </w:r>
      <w:r>
        <w:rPr>
          <w:rFonts w:asciiTheme="minorEastAsia" w:hAnsiTheme="minorEastAsia" w:cstheme="minorEastAsia" w:hint="eastAsia"/>
          <w:szCs w:val="21"/>
          <w:vertAlign w:val="superscript"/>
        </w:rPr>
        <w:t>2</w:t>
      </w:r>
      <w:r>
        <w:rPr>
          <w:rFonts w:ascii="等线" w:eastAsia="等线" w:hAnsi="等线" w:cs="等线" w:hint="eastAsia"/>
          <w:color w:val="000000"/>
        </w:rPr>
        <w:t xml:space="preserve"> 进行清塘消毒。隔2d～3d后加注新水。</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苗种外观要体表洁净光亮，鳞片完整，无病无伤，游动活泼，体质健壮，规格整齐。</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放养鱼种消毒方法可用3%食盐水溶液，浸浴5～8min或5～10mg/L高锰酸钾，浸浴5～10min。剔除病鱼、伤残鱼。操作时水温温差控制在3℃以内。</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以上措施可从源头杜绝使用病苗、弱苗，以及携带特定病毒的苗种进入生产环节。</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通常在4月前后放养鱼种，放养时应选择晴天进行。池塘循环水养殖须在水温稳定在20℃左右，防止水霉病大规模发生。</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采购苗种质量应分别符合SC/T 1081、GB/T 11777 、 GB/T 11778 、GB/T 18395的要求。</w:t>
      </w:r>
    </w:p>
    <w:p w:rsidR="00E77840" w:rsidRDefault="00D723D4">
      <w:pPr>
        <w:ind w:firstLineChars="200" w:firstLine="420"/>
        <w:rPr>
          <w:rFonts w:ascii="黑体" w:eastAsia="黑体" w:hAnsi="Times New Roman" w:cs="Times New Roman"/>
          <w:bCs/>
          <w:kern w:val="0"/>
          <w:szCs w:val="20"/>
        </w:rPr>
      </w:pPr>
      <w:r>
        <w:rPr>
          <w:rFonts w:ascii="黑体" w:eastAsia="黑体" w:hAnsi="Times New Roman" w:cs="Times New Roman" w:hint="eastAsia"/>
          <w:bCs/>
          <w:kern w:val="0"/>
          <w:szCs w:val="20"/>
        </w:rPr>
        <w:t>（2）放养数量</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池塘养殖以东阿黄河鲤鱼最终水体生物量小于或等于1kg/m³。 放苗密度700尾/亩～800尾/亩，规格为4尾/kg～8尾/kg。配养花、白鲢鱼250尾/亩～300尾/亩，规格为4尾/kg～6尾/kg。彭泽鲫50尾/亩，规格15尾/亩～20尾/亩。亩最大载鱼量小于等于1600kg。</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池塘循环水养殖放养量以终产量不超过80kg/m³ 为宜。池塘循环水养殖模式是近几年推广的新型高效养殖模式，还没有可提供标准化放养数量的黄河鲤鱼养殖标准，依据近几年实践经验，建议以此作为参考。</w:t>
      </w:r>
    </w:p>
    <w:p w:rsidR="00E77840" w:rsidRDefault="00D723D4">
      <w:pPr>
        <w:ind w:firstLineChars="200" w:firstLine="420"/>
        <w:rPr>
          <w:rFonts w:ascii="黑体" w:eastAsia="黑体" w:hAnsi="Times New Roman" w:cs="Times New Roman"/>
          <w:bCs/>
          <w:kern w:val="0"/>
          <w:szCs w:val="20"/>
        </w:rPr>
      </w:pPr>
      <w:r>
        <w:rPr>
          <w:rFonts w:ascii="黑体" w:eastAsia="黑体" w:hAnsi="Times New Roman" w:cs="Times New Roman" w:hint="eastAsia"/>
          <w:bCs/>
          <w:kern w:val="0"/>
          <w:szCs w:val="20"/>
        </w:rPr>
        <w:t>（3）饲料与投喂</w:t>
      </w:r>
    </w:p>
    <w:p w:rsidR="00E77840" w:rsidRDefault="00D723D4">
      <w:pPr>
        <w:spacing w:beforeLines="50" w:before="156" w:afterLines="50" w:after="156"/>
        <w:ind w:firstLineChars="200" w:firstLine="420"/>
        <w:rPr>
          <w:rFonts w:ascii="等线" w:eastAsia="等线" w:hAnsi="等线" w:cs="等线"/>
        </w:rPr>
      </w:pPr>
      <w:r>
        <w:rPr>
          <w:rFonts w:ascii="等线" w:eastAsia="等线" w:hAnsi="等线" w:cs="等线" w:hint="eastAsia"/>
        </w:rPr>
        <w:t>本标准提出的饲料为硬颗粒东阿黄河鲤鱼专用料。专用饲料设计原则就是“剔除影响肉质风味的原料，较低投饵率、保持合理速度生长情况下，满足养殖对象营养需求”。依照养殖对象规格，划分为鱼种前期料、成鱼料。为推行标准化生产，标准对代号、适宜规格、养殖模式、感官要求、营养指标做出了规定。特别指出的是，该饲料仅限于“</w:t>
      </w:r>
      <w:r>
        <w:rPr>
          <w:rFonts w:ascii="等线" w:eastAsia="等线" w:hAnsi="等线" w:cs="等线" w:hint="eastAsia"/>
          <w:szCs w:val="21"/>
        </w:rPr>
        <w:t>池塘中低密度养殖、池塘工程化循环水养殖生产模式</w:t>
      </w:r>
      <w:r>
        <w:rPr>
          <w:rFonts w:ascii="等线" w:eastAsia="等线" w:hAnsi="等线" w:cs="等线" w:hint="eastAsia"/>
        </w:rPr>
        <w:t>”。</w:t>
      </w:r>
    </w:p>
    <w:p w:rsidR="00E77840" w:rsidRDefault="00D723D4">
      <w:pPr>
        <w:ind w:firstLineChars="200" w:firstLine="420"/>
        <w:rPr>
          <w:rFonts w:ascii="黑体" w:eastAsia="黑体" w:hAnsi="黑体" w:cs="黑体"/>
          <w:color w:val="000000"/>
          <w:kern w:val="0"/>
          <w:szCs w:val="21"/>
          <w:lang w:bidi="ar"/>
        </w:rPr>
      </w:pPr>
      <w:r>
        <w:rPr>
          <w:rFonts w:ascii="黑体" w:eastAsia="黑体" w:hAnsi="黑体" w:cs="黑体" w:hint="eastAsia"/>
          <w:szCs w:val="21"/>
        </w:rPr>
        <w:t>表1：</w:t>
      </w:r>
      <w:r>
        <w:rPr>
          <w:rFonts w:ascii="黑体" w:eastAsia="黑体" w:hAnsi="黑体" w:cs="黑体" w:hint="eastAsia"/>
          <w:color w:val="000000"/>
          <w:kern w:val="0"/>
          <w:szCs w:val="21"/>
          <w:lang w:bidi="ar"/>
        </w:rPr>
        <w:t>东阿黄河鲤鱼专用配合饲料营养标准</w:t>
      </w:r>
    </w:p>
    <w:tbl>
      <w:tblPr>
        <w:tblW w:w="8440" w:type="dxa"/>
        <w:tblLayout w:type="fixed"/>
        <w:tblCellMar>
          <w:left w:w="0" w:type="dxa"/>
          <w:right w:w="0" w:type="dxa"/>
        </w:tblCellMar>
        <w:tblLook w:val="04A0" w:firstRow="1" w:lastRow="0" w:firstColumn="1" w:lastColumn="0" w:noHBand="0" w:noVBand="1"/>
      </w:tblPr>
      <w:tblGrid>
        <w:gridCol w:w="884"/>
        <w:gridCol w:w="2039"/>
        <w:gridCol w:w="1365"/>
        <w:gridCol w:w="1605"/>
        <w:gridCol w:w="1335"/>
        <w:gridCol w:w="1212"/>
      </w:tblGrid>
      <w:tr w:rsidR="00E77840">
        <w:trPr>
          <w:trHeight w:val="1538"/>
        </w:trPr>
        <w:tc>
          <w:tcPr>
            <w:tcW w:w="2923"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napToGrid w:val="0"/>
              <w:spacing w:line="500" w:lineRule="exact"/>
              <w:ind w:firstLineChars="200" w:firstLine="420"/>
              <w:textAlignment w:val="center"/>
              <w:rPr>
                <w:rFonts w:ascii="等线" w:eastAsia="等线" w:hAnsi="等线" w:cs="等线"/>
                <w:color w:val="000000"/>
                <w:szCs w:val="21"/>
              </w:rPr>
            </w:pPr>
            <w:r>
              <w:rPr>
                <w:rFonts w:ascii="等线" w:eastAsia="等线" w:hAnsi="等线" w:cs="等线" w:hint="eastAsia"/>
                <w:color w:val="000000"/>
                <w:szCs w:val="21"/>
              </w:rPr>
              <w:t>营养指标</w:t>
            </w:r>
          </w:p>
          <w:p w:rsidR="00E77840" w:rsidRDefault="00D723D4">
            <w:pPr>
              <w:spacing w:line="500" w:lineRule="exact"/>
              <w:ind w:firstLineChars="700" w:firstLine="1470"/>
              <w:rPr>
                <w:rFonts w:ascii="等线" w:eastAsia="等线" w:hAnsi="等线" w:cs="等线"/>
                <w:szCs w:val="21"/>
              </w:rPr>
            </w:pPr>
            <w:r>
              <w:rPr>
                <w:rFonts w:ascii="等线" w:eastAsia="等线" w:hAnsi="等线" w:cs="等线" w:hint="eastAsia"/>
                <w:szCs w:val="21"/>
              </w:rPr>
              <w:t>饲料规格</w:t>
            </w:r>
          </w:p>
        </w:tc>
        <w:tc>
          <w:tcPr>
            <w:tcW w:w="13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7840" w:rsidRDefault="00D723D4">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鱼种料</w:t>
            </w:r>
            <w:r>
              <w:rPr>
                <w:rFonts w:ascii="等线" w:eastAsia="等线" w:hAnsi="等线" w:cs="等线" w:hint="eastAsia"/>
                <w:color w:val="000000"/>
                <w:kern w:val="0"/>
                <w:szCs w:val="21"/>
                <w:lang w:bidi="ar"/>
              </w:rPr>
              <w:br/>
              <w:t>开口料</w:t>
            </w:r>
            <w:r>
              <w:rPr>
                <w:rFonts w:ascii="等线" w:eastAsia="等线" w:hAnsi="等线" w:cs="等线" w:hint="eastAsia"/>
                <w:color w:val="000000"/>
                <w:kern w:val="0"/>
                <w:szCs w:val="21"/>
                <w:lang w:bidi="ar"/>
              </w:rPr>
              <w:br/>
              <w:t>（0.6～12g）</w:t>
            </w:r>
          </w:p>
        </w:tc>
        <w:tc>
          <w:tcPr>
            <w:tcW w:w="16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7840" w:rsidRDefault="00D723D4">
            <w:pPr>
              <w:widowControl/>
              <w:spacing w:line="500" w:lineRule="exact"/>
              <w:ind w:firstLineChars="100" w:firstLine="210"/>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鱼种料1</w:t>
            </w:r>
            <w:r>
              <w:rPr>
                <w:rFonts w:ascii="等线" w:eastAsia="等线" w:hAnsi="等线" w:cs="等线" w:hint="eastAsia"/>
                <w:color w:val="000000"/>
                <w:kern w:val="0"/>
                <w:szCs w:val="21"/>
                <w:vertAlign w:val="superscript"/>
                <w:lang w:bidi="ar"/>
              </w:rPr>
              <w:t>＃</w:t>
            </w:r>
            <w:r>
              <w:rPr>
                <w:rFonts w:ascii="等线" w:eastAsia="等线" w:hAnsi="等线" w:cs="等线" w:hint="eastAsia"/>
                <w:color w:val="000000"/>
                <w:kern w:val="0"/>
                <w:szCs w:val="21"/>
                <w:lang w:bidi="ar"/>
              </w:rPr>
              <w:br/>
              <w:t>（12～50g以上）</w:t>
            </w:r>
          </w:p>
        </w:tc>
        <w:tc>
          <w:tcPr>
            <w:tcW w:w="13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7840" w:rsidRDefault="00D723D4">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鱼种料2</w:t>
            </w:r>
            <w:r>
              <w:rPr>
                <w:rFonts w:ascii="等线" w:eastAsia="等线" w:hAnsi="等线" w:cs="等线" w:hint="eastAsia"/>
                <w:color w:val="000000"/>
                <w:kern w:val="0"/>
                <w:szCs w:val="21"/>
                <w:vertAlign w:val="superscript"/>
                <w:lang w:bidi="ar"/>
              </w:rPr>
              <w:t>＃</w:t>
            </w:r>
            <w:r>
              <w:rPr>
                <w:rFonts w:ascii="等线" w:eastAsia="等线" w:hAnsi="等线" w:cs="等线" w:hint="eastAsia"/>
                <w:color w:val="000000"/>
                <w:kern w:val="0"/>
                <w:szCs w:val="21"/>
                <w:lang w:bidi="ar"/>
              </w:rPr>
              <w:br/>
              <w:t>（75～250g）</w:t>
            </w:r>
          </w:p>
        </w:tc>
        <w:tc>
          <w:tcPr>
            <w:tcW w:w="121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E77840" w:rsidRDefault="00D723D4">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成鱼料3</w:t>
            </w:r>
            <w:r>
              <w:rPr>
                <w:rFonts w:ascii="等线" w:eastAsia="等线" w:hAnsi="等线" w:cs="等线" w:hint="eastAsia"/>
                <w:color w:val="000000"/>
                <w:kern w:val="0"/>
                <w:szCs w:val="21"/>
                <w:vertAlign w:val="superscript"/>
                <w:lang w:bidi="ar"/>
              </w:rPr>
              <w:t>＃</w:t>
            </w:r>
            <w:r>
              <w:rPr>
                <w:rFonts w:ascii="等线" w:eastAsia="等线" w:hAnsi="等线" w:cs="等线" w:hint="eastAsia"/>
                <w:color w:val="000000"/>
                <w:kern w:val="0"/>
                <w:szCs w:val="21"/>
                <w:lang w:bidi="ar"/>
              </w:rPr>
              <w:t>（250g以上）</w:t>
            </w:r>
          </w:p>
        </w:tc>
      </w:tr>
      <w:tr w:rsidR="00E77840" w:rsidTr="00501A8E">
        <w:trPr>
          <w:trHeight w:val="490"/>
        </w:trPr>
        <w:tc>
          <w:tcPr>
            <w:tcW w:w="88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48415E" w:rsidRDefault="00711CF6" w:rsidP="00711CF6">
            <w:pPr>
              <w:widowControl/>
              <w:spacing w:line="500" w:lineRule="exact"/>
              <w:ind w:left="113" w:right="113" w:firstLineChars="100" w:firstLine="210"/>
              <w:textAlignment w:val="center"/>
              <w:rPr>
                <w:rFonts w:ascii="等线" w:eastAsia="等线" w:hAnsi="等线" w:cs="等线"/>
                <w:color w:val="000000"/>
                <w:szCs w:val="21"/>
              </w:rPr>
            </w:pPr>
            <w:r>
              <w:rPr>
                <w:rFonts w:ascii="等线" w:eastAsia="等线" w:hAnsi="等线" w:cs="等线" w:hint="eastAsia"/>
                <w:color w:val="000000"/>
                <w:szCs w:val="21"/>
              </w:rPr>
              <w:t xml:space="preserve"> </w:t>
            </w:r>
            <w:r w:rsidR="0048415E">
              <w:rPr>
                <w:rFonts w:ascii="等线" w:eastAsia="等线" w:hAnsi="等线" w:cs="等线" w:hint="eastAsia"/>
                <w:color w:val="000000"/>
                <w:szCs w:val="21"/>
              </w:rPr>
              <w:t>主要指标</w:t>
            </w:r>
          </w:p>
          <w:p w:rsidR="0048415E" w:rsidRDefault="0048415E" w:rsidP="00501A8E">
            <w:pPr>
              <w:widowControl/>
              <w:spacing w:line="500" w:lineRule="exact"/>
              <w:ind w:right="113" w:firstLineChars="200" w:firstLine="420"/>
              <w:jc w:val="center"/>
              <w:textAlignment w:val="center"/>
              <w:rPr>
                <w:rFonts w:ascii="等线" w:eastAsia="等线" w:hAnsi="等线" w:cs="等线"/>
                <w:color w:val="000000"/>
                <w:szCs w:val="21"/>
              </w:rPr>
            </w:pPr>
          </w:p>
          <w:p w:rsidR="00E77840" w:rsidRDefault="00501A8E" w:rsidP="00501A8E">
            <w:pPr>
              <w:widowControl/>
              <w:spacing w:line="500" w:lineRule="exact"/>
              <w:ind w:right="113" w:firstLineChars="200" w:firstLine="420"/>
              <w:jc w:val="center"/>
              <w:textAlignment w:val="center"/>
              <w:rPr>
                <w:rFonts w:ascii="等线" w:eastAsia="等线" w:hAnsi="等线" w:cs="等线"/>
                <w:color w:val="000000"/>
                <w:szCs w:val="21"/>
              </w:rPr>
            </w:pPr>
            <w:r>
              <w:rPr>
                <w:rFonts w:ascii="等线" w:eastAsia="等线" w:hAnsi="等线" w:cs="等线" w:hint="eastAsia"/>
                <w:color w:val="000000"/>
                <w:szCs w:val="21"/>
              </w:rPr>
              <w:t>主要指标</w:t>
            </w: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鱼消化能Mcal/kg≥</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3.10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3.00</w:t>
            </w:r>
          </w:p>
        </w:tc>
      </w:tr>
      <w:tr w:rsidR="00E77840">
        <w:trPr>
          <w:trHeight w:val="670"/>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E77840">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粗蛋白%≥</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35.00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32.00</w:t>
            </w:r>
          </w:p>
        </w:tc>
      </w:tr>
      <w:tr w:rsidR="00E77840">
        <w:trPr>
          <w:trHeight w:val="670"/>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E77840">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可消化蛋白%≥</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33.00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E77840" w:rsidRDefault="00D723D4">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30.00</w:t>
            </w:r>
          </w:p>
        </w:tc>
      </w:tr>
      <w:tr w:rsidR="00711CF6">
        <w:trPr>
          <w:trHeight w:val="670"/>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粗脂肪%≥</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4.0～8.0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4.0～8.0</w:t>
            </w:r>
          </w:p>
        </w:tc>
      </w:tr>
      <w:tr w:rsidR="00711CF6">
        <w:trPr>
          <w:trHeight w:val="655"/>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赖氨酸%≥</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1.80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1.70</w:t>
            </w:r>
          </w:p>
        </w:tc>
      </w:tr>
      <w:tr w:rsidR="00711CF6">
        <w:trPr>
          <w:trHeight w:val="540"/>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可消化赖氨酸%≥</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1.60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1.50</w:t>
            </w:r>
          </w:p>
        </w:tc>
      </w:tr>
      <w:tr w:rsidR="00711CF6">
        <w:trPr>
          <w:trHeight w:val="550"/>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蛋氨酸%≥</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0.60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0.55</w:t>
            </w:r>
          </w:p>
        </w:tc>
      </w:tr>
      <w:tr w:rsidR="00711CF6">
        <w:trPr>
          <w:trHeight w:val="520"/>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可消化蛋氨酸%≥</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0.50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0.45</w:t>
            </w:r>
          </w:p>
        </w:tc>
      </w:tr>
      <w:tr w:rsidR="00711CF6">
        <w:trPr>
          <w:trHeight w:val="535"/>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原料组成（动物蛋白、豆粕）≥kg/T</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动物蛋白80、豆粕250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动物蛋白50、</w:t>
            </w:r>
            <w:r>
              <w:rPr>
                <w:rFonts w:ascii="等线" w:eastAsia="等线" w:hAnsi="等线" w:cs="等线" w:hint="eastAsia"/>
                <w:color w:val="000000"/>
                <w:kern w:val="0"/>
                <w:szCs w:val="21"/>
                <w:lang w:bidi="ar"/>
              </w:rPr>
              <w:br/>
              <w:t>豆粕250</w:t>
            </w:r>
          </w:p>
        </w:tc>
      </w:tr>
      <w:tr w:rsidR="00711CF6">
        <w:trPr>
          <w:trHeight w:val="857"/>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11CF6" w:rsidRDefault="00711CF6">
            <w:pPr>
              <w:widowControl/>
              <w:spacing w:line="500" w:lineRule="exact"/>
              <w:ind w:firstLineChars="200" w:firstLine="420"/>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粗纤维%≤</w:t>
            </w:r>
          </w:p>
        </w:tc>
        <w:tc>
          <w:tcPr>
            <w:tcW w:w="297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6.00</w:t>
            </w:r>
          </w:p>
        </w:tc>
        <w:tc>
          <w:tcPr>
            <w:tcW w:w="254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7.00</w:t>
            </w:r>
          </w:p>
        </w:tc>
      </w:tr>
      <w:tr w:rsidR="00711CF6" w:rsidTr="00501A8E">
        <w:trPr>
          <w:trHeight w:val="520"/>
        </w:trPr>
        <w:tc>
          <w:tcPr>
            <w:tcW w:w="884"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extDirection w:val="tbRlV"/>
            <w:vAlign w:val="center"/>
          </w:tcPr>
          <w:p w:rsidR="00711CF6" w:rsidRDefault="00711CF6" w:rsidP="00501A8E">
            <w:pPr>
              <w:widowControl/>
              <w:spacing w:line="500" w:lineRule="exact"/>
              <w:ind w:left="113" w:right="113" w:firstLineChars="100" w:firstLine="210"/>
              <w:textAlignment w:val="center"/>
              <w:rPr>
                <w:rFonts w:ascii="等线" w:eastAsia="等线" w:hAnsi="等线" w:cs="等线"/>
                <w:color w:val="000000"/>
                <w:szCs w:val="21"/>
              </w:rPr>
            </w:pPr>
            <w:r>
              <w:rPr>
                <w:rFonts w:ascii="等线" w:eastAsia="等线" w:hAnsi="等线" w:cs="等线" w:hint="eastAsia"/>
                <w:color w:val="000000"/>
                <w:szCs w:val="21"/>
              </w:rPr>
              <w:t xml:space="preserve"> 参考指标</w:t>
            </w: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粗灰分%≤</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12.00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12.00</w:t>
            </w:r>
          </w:p>
        </w:tc>
      </w:tr>
      <w:tr w:rsidR="00711CF6">
        <w:trPr>
          <w:trHeight w:val="375"/>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钙%≥</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0.60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0.60</w:t>
            </w:r>
          </w:p>
        </w:tc>
      </w:tr>
      <w:tr w:rsidR="00711CF6">
        <w:trPr>
          <w:trHeight w:val="325"/>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szCs w:val="21"/>
              </w:rPr>
            </w:pPr>
            <w:r>
              <w:rPr>
                <w:rFonts w:ascii="等线" w:eastAsia="等线" w:hAnsi="等线" w:cs="等线" w:hint="eastAsia"/>
                <w:color w:val="000000"/>
                <w:kern w:val="0"/>
                <w:szCs w:val="21"/>
                <w:lang w:bidi="ar"/>
              </w:rPr>
              <w:t>有效磷%≥</w:t>
            </w: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0.80</w:t>
            </w: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0.70</w:t>
            </w:r>
          </w:p>
        </w:tc>
      </w:tr>
      <w:tr w:rsidR="00711CF6">
        <w:trPr>
          <w:trHeight w:val="465"/>
        </w:trPr>
        <w:tc>
          <w:tcPr>
            <w:tcW w:w="884"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spacing w:line="500" w:lineRule="exact"/>
              <w:jc w:val="center"/>
              <w:rPr>
                <w:rFonts w:ascii="等线" w:eastAsia="等线" w:hAnsi="等线" w:cs="等线"/>
                <w:color w:val="000000"/>
                <w:szCs w:val="21"/>
              </w:rPr>
            </w:pPr>
          </w:p>
        </w:tc>
        <w:tc>
          <w:tcPr>
            <w:tcW w:w="203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left"/>
              <w:textAlignment w:val="center"/>
              <w:rPr>
                <w:rFonts w:ascii="等线" w:eastAsia="等线" w:hAnsi="等线" w:cs="等线"/>
                <w:color w:val="000000"/>
                <w:szCs w:val="21"/>
              </w:rPr>
            </w:pPr>
          </w:p>
        </w:tc>
        <w:tc>
          <w:tcPr>
            <w:tcW w:w="297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p>
        </w:tc>
        <w:tc>
          <w:tcPr>
            <w:tcW w:w="254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11CF6" w:rsidRDefault="00711CF6">
            <w:pPr>
              <w:widowControl/>
              <w:spacing w:line="500" w:lineRule="exact"/>
              <w:jc w:val="center"/>
              <w:textAlignment w:val="center"/>
              <w:rPr>
                <w:rFonts w:ascii="等线" w:eastAsia="等线" w:hAnsi="等线" w:cs="等线"/>
                <w:color w:val="000000"/>
                <w:szCs w:val="21"/>
              </w:rPr>
            </w:pPr>
          </w:p>
        </w:tc>
      </w:tr>
    </w:tbl>
    <w:p w:rsidR="00E77840" w:rsidRDefault="00D723D4">
      <w:pPr>
        <w:pStyle w:val="a"/>
        <w:numPr>
          <w:ilvl w:val="0"/>
          <w:numId w:val="0"/>
        </w:numPr>
        <w:spacing w:before="156" w:after="156"/>
        <w:ind w:firstLineChars="200" w:firstLine="420"/>
        <w:jc w:val="both"/>
        <w:rPr>
          <w:rFonts w:ascii="等线" w:eastAsia="等线" w:hAnsi="等线" w:cs="等线"/>
          <w:color w:val="000000"/>
          <w:szCs w:val="21"/>
        </w:rPr>
      </w:pPr>
      <w:r>
        <w:rPr>
          <w:rFonts w:ascii="等线" w:eastAsia="等线" w:hAnsi="等线" w:cs="等线" w:hint="eastAsia"/>
          <w:b/>
          <w:szCs w:val="21"/>
        </w:rPr>
        <w:t>表2：   日投喂次数参考表</w:t>
      </w:r>
    </w:p>
    <w:tbl>
      <w:tblPr>
        <w:tblStyle w:val="a8"/>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851"/>
        <w:gridCol w:w="4435"/>
      </w:tblGrid>
      <w:tr w:rsidR="00E77840">
        <w:trPr>
          <w:trHeight w:val="500"/>
        </w:trPr>
        <w:tc>
          <w:tcPr>
            <w:tcW w:w="4261" w:type="dxa"/>
            <w:tcBorders>
              <w:top w:val="single" w:sz="8" w:space="0" w:color="auto"/>
              <w:bottom w:val="single" w:sz="8" w:space="0" w:color="auto"/>
            </w:tcBorders>
            <w:shd w:val="clear" w:color="auto" w:fill="auto"/>
            <w:vAlign w:val="center"/>
          </w:tcPr>
          <w:p w:rsidR="00E77840" w:rsidRDefault="00D723D4">
            <w:pPr>
              <w:widowControl/>
              <w:jc w:val="center"/>
              <w:rPr>
                <w:rFonts w:ascii="等线" w:eastAsia="等线" w:hAnsi="等线" w:cs="等线"/>
                <w:color w:val="000000"/>
                <w:szCs w:val="21"/>
              </w:rPr>
            </w:pPr>
            <w:r>
              <w:rPr>
                <w:rFonts w:ascii="等线" w:eastAsia="等线" w:hAnsi="等线" w:cs="等线" w:hint="eastAsia"/>
                <w:color w:val="000000"/>
                <w:szCs w:val="21"/>
              </w:rPr>
              <w:t>水温</w:t>
            </w:r>
          </w:p>
        </w:tc>
        <w:tc>
          <w:tcPr>
            <w:tcW w:w="4948" w:type="dxa"/>
            <w:tcBorders>
              <w:top w:val="single" w:sz="8" w:space="0" w:color="auto"/>
              <w:bottom w:val="single" w:sz="8" w:space="0" w:color="auto"/>
            </w:tcBorders>
            <w:shd w:val="clear" w:color="auto" w:fill="auto"/>
            <w:vAlign w:val="center"/>
          </w:tcPr>
          <w:p w:rsidR="00E77840" w:rsidRDefault="00D723D4">
            <w:pPr>
              <w:widowControl/>
              <w:jc w:val="center"/>
              <w:rPr>
                <w:rFonts w:ascii="等线" w:eastAsia="等线" w:hAnsi="等线" w:cs="等线"/>
                <w:color w:val="000000"/>
                <w:szCs w:val="21"/>
              </w:rPr>
            </w:pPr>
            <w:r>
              <w:rPr>
                <w:rFonts w:ascii="等线" w:eastAsia="等线" w:hAnsi="等线" w:cs="等线" w:hint="eastAsia"/>
                <w:color w:val="000000"/>
                <w:szCs w:val="21"/>
              </w:rPr>
              <w:t>日投喂次数（次/日）</w:t>
            </w:r>
          </w:p>
        </w:tc>
      </w:tr>
      <w:tr w:rsidR="00E77840">
        <w:trPr>
          <w:trHeight w:val="485"/>
        </w:trPr>
        <w:tc>
          <w:tcPr>
            <w:tcW w:w="4261" w:type="dxa"/>
            <w:tcBorders>
              <w:top w:val="single" w:sz="8" w:space="0" w:color="auto"/>
            </w:tcBorders>
            <w:shd w:val="clear" w:color="auto" w:fill="auto"/>
            <w:vAlign w:val="center"/>
          </w:tcPr>
          <w:p w:rsidR="00E77840" w:rsidRDefault="00D723D4">
            <w:pPr>
              <w:widowControl/>
              <w:jc w:val="center"/>
              <w:rPr>
                <w:rFonts w:ascii="等线" w:eastAsia="等线" w:hAnsi="等线" w:cs="等线"/>
                <w:color w:val="000000"/>
                <w:szCs w:val="21"/>
              </w:rPr>
            </w:pPr>
            <w:r>
              <w:rPr>
                <w:rFonts w:ascii="等线" w:eastAsia="等线" w:hAnsi="等线" w:cs="等线" w:hint="eastAsia"/>
                <w:color w:val="000000"/>
                <w:szCs w:val="21"/>
              </w:rPr>
              <w:t>≥20℃</w:t>
            </w:r>
          </w:p>
        </w:tc>
        <w:tc>
          <w:tcPr>
            <w:tcW w:w="4948" w:type="dxa"/>
            <w:tcBorders>
              <w:top w:val="single" w:sz="8" w:space="0" w:color="auto"/>
            </w:tcBorders>
            <w:shd w:val="clear" w:color="auto" w:fill="auto"/>
            <w:vAlign w:val="center"/>
          </w:tcPr>
          <w:p w:rsidR="00E77840" w:rsidRDefault="00D723D4">
            <w:pPr>
              <w:widowControl/>
              <w:jc w:val="center"/>
              <w:rPr>
                <w:rFonts w:ascii="等线" w:eastAsia="等线" w:hAnsi="等线" w:cs="等线"/>
                <w:color w:val="000000"/>
                <w:szCs w:val="21"/>
              </w:rPr>
            </w:pPr>
            <w:r>
              <w:rPr>
                <w:rFonts w:ascii="等线" w:eastAsia="等线" w:hAnsi="等线" w:cs="等线" w:hint="eastAsia"/>
                <w:color w:val="000000"/>
                <w:szCs w:val="21"/>
              </w:rPr>
              <w:t>3～4</w:t>
            </w:r>
          </w:p>
        </w:tc>
      </w:tr>
      <w:tr w:rsidR="00E77840">
        <w:trPr>
          <w:trHeight w:val="515"/>
        </w:trPr>
        <w:tc>
          <w:tcPr>
            <w:tcW w:w="4261" w:type="dxa"/>
            <w:shd w:val="clear" w:color="auto" w:fill="auto"/>
            <w:vAlign w:val="center"/>
          </w:tcPr>
          <w:p w:rsidR="00E77840" w:rsidRDefault="00D723D4">
            <w:pPr>
              <w:widowControl/>
              <w:jc w:val="center"/>
              <w:rPr>
                <w:rFonts w:ascii="等线" w:eastAsia="等线" w:hAnsi="等线" w:cs="等线"/>
                <w:color w:val="000000"/>
                <w:szCs w:val="21"/>
              </w:rPr>
            </w:pPr>
            <w:r>
              <w:rPr>
                <w:rFonts w:ascii="等线" w:eastAsia="等线" w:hAnsi="等线" w:cs="等线" w:hint="eastAsia"/>
                <w:color w:val="000000"/>
                <w:szCs w:val="21"/>
              </w:rPr>
              <w:t>15℃～20℃</w:t>
            </w:r>
          </w:p>
        </w:tc>
        <w:tc>
          <w:tcPr>
            <w:tcW w:w="4948" w:type="dxa"/>
            <w:shd w:val="clear" w:color="auto" w:fill="auto"/>
            <w:vAlign w:val="center"/>
          </w:tcPr>
          <w:p w:rsidR="00E77840" w:rsidRDefault="00D723D4">
            <w:pPr>
              <w:widowControl/>
              <w:jc w:val="center"/>
              <w:rPr>
                <w:rFonts w:ascii="等线" w:eastAsia="等线" w:hAnsi="等线" w:cs="等线"/>
                <w:color w:val="000000"/>
                <w:szCs w:val="21"/>
              </w:rPr>
            </w:pPr>
            <w:r>
              <w:rPr>
                <w:rFonts w:ascii="等线" w:eastAsia="等线" w:hAnsi="等线" w:cs="等线" w:hint="eastAsia"/>
                <w:color w:val="000000"/>
                <w:szCs w:val="21"/>
              </w:rPr>
              <w:t>3</w:t>
            </w:r>
          </w:p>
        </w:tc>
      </w:tr>
      <w:tr w:rsidR="00E77840">
        <w:trPr>
          <w:trHeight w:val="501"/>
        </w:trPr>
        <w:tc>
          <w:tcPr>
            <w:tcW w:w="4261" w:type="dxa"/>
            <w:tcBorders>
              <w:bottom w:val="single" w:sz="8" w:space="0" w:color="auto"/>
            </w:tcBorders>
            <w:shd w:val="clear" w:color="auto" w:fill="auto"/>
            <w:vAlign w:val="center"/>
          </w:tcPr>
          <w:p w:rsidR="00E77840" w:rsidRDefault="00D723D4">
            <w:pPr>
              <w:widowControl/>
              <w:jc w:val="center"/>
              <w:rPr>
                <w:rFonts w:ascii="等线" w:eastAsia="等线" w:hAnsi="等线" w:cs="等线"/>
                <w:color w:val="000000"/>
                <w:szCs w:val="21"/>
              </w:rPr>
            </w:pPr>
            <w:r>
              <w:rPr>
                <w:rFonts w:ascii="等线" w:eastAsia="等线" w:hAnsi="等线" w:cs="等线" w:hint="eastAsia"/>
                <w:color w:val="000000"/>
                <w:szCs w:val="21"/>
              </w:rPr>
              <w:t>10℃～15℃</w:t>
            </w:r>
          </w:p>
        </w:tc>
        <w:tc>
          <w:tcPr>
            <w:tcW w:w="4948" w:type="dxa"/>
            <w:tcBorders>
              <w:bottom w:val="single" w:sz="8" w:space="0" w:color="auto"/>
            </w:tcBorders>
            <w:shd w:val="clear" w:color="auto" w:fill="auto"/>
            <w:vAlign w:val="center"/>
          </w:tcPr>
          <w:p w:rsidR="00E77840" w:rsidRDefault="00D723D4">
            <w:pPr>
              <w:widowControl/>
              <w:jc w:val="center"/>
              <w:rPr>
                <w:rFonts w:ascii="等线" w:eastAsia="等线" w:hAnsi="等线" w:cs="等线"/>
                <w:color w:val="000000"/>
                <w:szCs w:val="21"/>
              </w:rPr>
            </w:pPr>
            <w:r>
              <w:rPr>
                <w:rFonts w:ascii="等线" w:eastAsia="等线" w:hAnsi="等线" w:cs="等线" w:hint="eastAsia"/>
                <w:color w:val="000000"/>
                <w:szCs w:val="21"/>
              </w:rPr>
              <w:t>1～2</w:t>
            </w:r>
          </w:p>
        </w:tc>
      </w:tr>
    </w:tbl>
    <w:p w:rsidR="00E77840" w:rsidRDefault="00D723D4">
      <w:pPr>
        <w:pStyle w:val="a"/>
        <w:numPr>
          <w:ilvl w:val="0"/>
          <w:numId w:val="0"/>
        </w:numPr>
        <w:spacing w:before="156" w:after="156"/>
        <w:ind w:firstLineChars="200" w:firstLine="420"/>
        <w:jc w:val="left"/>
        <w:rPr>
          <w:rFonts w:ascii="等线" w:eastAsia="等线" w:hAnsi="等线" w:cs="等线"/>
          <w:szCs w:val="21"/>
        </w:rPr>
      </w:pPr>
      <w:r>
        <w:rPr>
          <w:rFonts w:ascii="等线" w:eastAsia="等线" w:hAnsi="等线" w:cs="等线" w:hint="eastAsia"/>
          <w:szCs w:val="21"/>
        </w:rPr>
        <w:t>上表反映了水温对投饵的影响，也反映了合理投饵，避免浪费的管理要求。</w:t>
      </w:r>
    </w:p>
    <w:p w:rsidR="00E77840" w:rsidRDefault="00D723D4">
      <w:pPr>
        <w:pStyle w:val="a"/>
        <w:numPr>
          <w:ilvl w:val="0"/>
          <w:numId w:val="0"/>
        </w:numPr>
        <w:spacing w:before="156" w:after="156"/>
        <w:ind w:firstLineChars="200" w:firstLine="420"/>
        <w:jc w:val="both"/>
        <w:rPr>
          <w:rFonts w:ascii="等线" w:eastAsia="等线" w:hAnsi="等线" w:cs="等线"/>
          <w:b/>
          <w:szCs w:val="21"/>
        </w:rPr>
      </w:pPr>
      <w:r>
        <w:rPr>
          <w:rFonts w:ascii="等线" w:eastAsia="等线" w:hAnsi="等线" w:cs="等线" w:hint="eastAsia"/>
          <w:b/>
          <w:szCs w:val="21"/>
        </w:rPr>
        <w:t>表:3：   投饵率参考表</w:t>
      </w:r>
    </w:p>
    <w:tbl>
      <w:tblPr>
        <w:tblW w:w="835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47"/>
        <w:gridCol w:w="1220"/>
        <w:gridCol w:w="1293"/>
        <w:gridCol w:w="1273"/>
        <w:gridCol w:w="1231"/>
        <w:gridCol w:w="1252"/>
        <w:gridCol w:w="1137"/>
      </w:tblGrid>
      <w:tr w:rsidR="00E77840">
        <w:trPr>
          <w:trHeight w:val="599"/>
        </w:trPr>
        <w:tc>
          <w:tcPr>
            <w:tcW w:w="947" w:type="dxa"/>
            <w:vMerge w:val="restart"/>
            <w:tcBorders>
              <w:top w:val="single" w:sz="8" w:space="0" w:color="auto"/>
            </w:tcBorders>
            <w:shd w:val="clear" w:color="auto" w:fill="auto"/>
            <w:vAlign w:val="center"/>
          </w:tcPr>
          <w:p w:rsidR="00E77840" w:rsidRDefault="00D723D4">
            <w:pPr>
              <w:pStyle w:val="ac"/>
              <w:ind w:firstLineChars="100" w:firstLine="210"/>
              <w:jc w:val="center"/>
              <w:rPr>
                <w:rFonts w:ascii="等线" w:eastAsia="等线" w:hAnsi="等线" w:cs="等线"/>
                <w:szCs w:val="21"/>
              </w:rPr>
            </w:pPr>
            <w:r>
              <w:rPr>
                <w:rFonts w:ascii="等线" w:eastAsia="等线" w:hAnsi="等线" w:cs="等线" w:hint="eastAsia"/>
                <w:szCs w:val="21"/>
              </w:rPr>
              <w:t>温度</w:t>
            </w:r>
          </w:p>
        </w:tc>
        <w:tc>
          <w:tcPr>
            <w:tcW w:w="7406" w:type="dxa"/>
            <w:gridSpan w:val="6"/>
            <w:tcBorders>
              <w:top w:val="single" w:sz="8" w:space="0" w:color="auto"/>
              <w:bottom w:val="single" w:sz="8" w:space="0" w:color="auto"/>
            </w:tcBorders>
            <w:shd w:val="clear" w:color="auto" w:fill="auto"/>
            <w:vAlign w:val="center"/>
          </w:tcPr>
          <w:p w:rsidR="00E77840" w:rsidRDefault="00D723D4">
            <w:pPr>
              <w:pStyle w:val="ac"/>
              <w:ind w:firstLineChars="111" w:firstLine="233"/>
              <w:jc w:val="center"/>
              <w:rPr>
                <w:rFonts w:ascii="等线" w:eastAsia="等线" w:hAnsi="等线" w:cs="等线"/>
                <w:szCs w:val="21"/>
              </w:rPr>
            </w:pPr>
            <w:r>
              <w:rPr>
                <w:rFonts w:ascii="等线" w:eastAsia="等线" w:hAnsi="等线" w:cs="等线" w:hint="eastAsia"/>
                <w:szCs w:val="21"/>
              </w:rPr>
              <w:t>重量</w:t>
            </w:r>
          </w:p>
        </w:tc>
      </w:tr>
      <w:tr w:rsidR="00E77840">
        <w:trPr>
          <w:trHeight w:val="599"/>
        </w:trPr>
        <w:tc>
          <w:tcPr>
            <w:tcW w:w="947" w:type="dxa"/>
            <w:vMerge/>
            <w:shd w:val="clear" w:color="auto" w:fill="auto"/>
            <w:vAlign w:val="center"/>
          </w:tcPr>
          <w:p w:rsidR="00E77840" w:rsidRDefault="00E77840">
            <w:pPr>
              <w:pStyle w:val="ac"/>
              <w:ind w:firstLineChars="100" w:firstLine="210"/>
              <w:rPr>
                <w:rFonts w:ascii="等线" w:eastAsia="等线" w:hAnsi="等线" w:cs="等线"/>
                <w:szCs w:val="21"/>
              </w:rPr>
            </w:pPr>
          </w:p>
        </w:tc>
        <w:tc>
          <w:tcPr>
            <w:tcW w:w="1220" w:type="dxa"/>
            <w:tcBorders>
              <w:top w:val="single" w:sz="8" w:space="0" w:color="auto"/>
              <w:bottom w:val="single" w:sz="8" w:space="0" w:color="auto"/>
            </w:tcBorders>
            <w:shd w:val="clear" w:color="auto" w:fill="auto"/>
            <w:vAlign w:val="center"/>
          </w:tcPr>
          <w:p w:rsidR="00E77840" w:rsidRDefault="00D723D4">
            <w:pPr>
              <w:pStyle w:val="ac"/>
              <w:ind w:firstLineChars="111" w:firstLine="233"/>
              <w:jc w:val="center"/>
              <w:rPr>
                <w:rFonts w:ascii="等线" w:eastAsia="等线" w:hAnsi="等线" w:cs="等线"/>
                <w:szCs w:val="21"/>
              </w:rPr>
            </w:pPr>
            <w:r>
              <w:rPr>
                <w:rFonts w:ascii="等线" w:eastAsia="等线" w:hAnsi="等线" w:cs="等线" w:hint="eastAsia"/>
                <w:szCs w:val="21"/>
              </w:rPr>
              <w:t>50g～100g</w:t>
            </w:r>
          </w:p>
        </w:tc>
        <w:tc>
          <w:tcPr>
            <w:tcW w:w="1293" w:type="dxa"/>
            <w:tcBorders>
              <w:top w:val="single" w:sz="8" w:space="0" w:color="auto"/>
              <w:bottom w:val="single" w:sz="8" w:space="0" w:color="auto"/>
            </w:tcBorders>
            <w:shd w:val="clear" w:color="auto" w:fill="auto"/>
            <w:vAlign w:val="center"/>
          </w:tcPr>
          <w:p w:rsidR="00E77840" w:rsidRDefault="00D723D4">
            <w:pPr>
              <w:pStyle w:val="ac"/>
              <w:ind w:firstLineChars="111" w:firstLine="233"/>
              <w:jc w:val="center"/>
              <w:rPr>
                <w:rFonts w:ascii="等线" w:eastAsia="等线" w:hAnsi="等线" w:cs="等线"/>
                <w:szCs w:val="21"/>
              </w:rPr>
            </w:pPr>
            <w:r>
              <w:rPr>
                <w:rFonts w:ascii="等线" w:eastAsia="等线" w:hAnsi="等线" w:cs="等线" w:hint="eastAsia"/>
                <w:szCs w:val="21"/>
              </w:rPr>
              <w:t>100g～300g</w:t>
            </w:r>
          </w:p>
        </w:tc>
        <w:tc>
          <w:tcPr>
            <w:tcW w:w="1273" w:type="dxa"/>
            <w:tcBorders>
              <w:top w:val="single" w:sz="8" w:space="0" w:color="auto"/>
              <w:bottom w:val="single" w:sz="8" w:space="0" w:color="auto"/>
            </w:tcBorders>
            <w:shd w:val="clear" w:color="auto" w:fill="auto"/>
            <w:vAlign w:val="center"/>
          </w:tcPr>
          <w:p w:rsidR="00E77840" w:rsidRDefault="00D723D4">
            <w:pPr>
              <w:pStyle w:val="ac"/>
              <w:ind w:firstLineChars="111" w:firstLine="233"/>
              <w:jc w:val="center"/>
              <w:rPr>
                <w:rFonts w:ascii="等线" w:eastAsia="等线" w:hAnsi="等线" w:cs="等线"/>
                <w:szCs w:val="21"/>
              </w:rPr>
            </w:pPr>
            <w:r>
              <w:rPr>
                <w:rFonts w:ascii="等线" w:eastAsia="等线" w:hAnsi="等线" w:cs="等线" w:hint="eastAsia"/>
                <w:szCs w:val="21"/>
              </w:rPr>
              <w:t>300g～500g</w:t>
            </w:r>
          </w:p>
        </w:tc>
        <w:tc>
          <w:tcPr>
            <w:tcW w:w="1231" w:type="dxa"/>
            <w:tcBorders>
              <w:top w:val="single" w:sz="8" w:space="0" w:color="auto"/>
              <w:bottom w:val="single" w:sz="8" w:space="0" w:color="auto"/>
            </w:tcBorders>
            <w:shd w:val="clear" w:color="auto" w:fill="auto"/>
            <w:vAlign w:val="center"/>
          </w:tcPr>
          <w:p w:rsidR="00E77840" w:rsidRDefault="00D723D4">
            <w:pPr>
              <w:pStyle w:val="ac"/>
              <w:ind w:firstLineChars="111" w:firstLine="233"/>
              <w:jc w:val="center"/>
              <w:rPr>
                <w:rFonts w:ascii="等线" w:eastAsia="等线" w:hAnsi="等线" w:cs="等线"/>
                <w:szCs w:val="21"/>
              </w:rPr>
            </w:pPr>
            <w:r>
              <w:rPr>
                <w:rFonts w:ascii="等线" w:eastAsia="等线" w:hAnsi="等线" w:cs="等线" w:hint="eastAsia"/>
                <w:szCs w:val="21"/>
              </w:rPr>
              <w:t>500g～700g</w:t>
            </w:r>
          </w:p>
        </w:tc>
        <w:tc>
          <w:tcPr>
            <w:tcW w:w="1252" w:type="dxa"/>
            <w:tcBorders>
              <w:top w:val="single" w:sz="8" w:space="0" w:color="auto"/>
              <w:bottom w:val="single" w:sz="8" w:space="0" w:color="auto"/>
            </w:tcBorders>
            <w:shd w:val="clear" w:color="auto" w:fill="auto"/>
            <w:vAlign w:val="center"/>
          </w:tcPr>
          <w:p w:rsidR="00E77840" w:rsidRDefault="00D723D4">
            <w:pPr>
              <w:pStyle w:val="ac"/>
              <w:ind w:firstLineChars="111" w:firstLine="233"/>
              <w:jc w:val="center"/>
              <w:rPr>
                <w:rFonts w:ascii="等线" w:eastAsia="等线" w:hAnsi="等线" w:cs="等线"/>
                <w:szCs w:val="21"/>
              </w:rPr>
            </w:pPr>
            <w:r>
              <w:rPr>
                <w:rFonts w:ascii="等线" w:eastAsia="等线" w:hAnsi="等线" w:cs="等线" w:hint="eastAsia"/>
                <w:szCs w:val="21"/>
              </w:rPr>
              <w:t>700g～1000g</w:t>
            </w:r>
          </w:p>
        </w:tc>
        <w:tc>
          <w:tcPr>
            <w:tcW w:w="1137" w:type="dxa"/>
            <w:tcBorders>
              <w:top w:val="single" w:sz="8" w:space="0" w:color="auto"/>
              <w:bottom w:val="single" w:sz="8" w:space="0" w:color="auto"/>
            </w:tcBorders>
            <w:shd w:val="clear" w:color="auto" w:fill="auto"/>
            <w:vAlign w:val="center"/>
          </w:tcPr>
          <w:p w:rsidR="00E77840" w:rsidRDefault="00D723D4">
            <w:pPr>
              <w:pStyle w:val="ac"/>
              <w:ind w:firstLineChars="111" w:firstLine="233"/>
              <w:jc w:val="center"/>
              <w:rPr>
                <w:rFonts w:ascii="等线" w:eastAsia="等线" w:hAnsi="等线" w:cs="等线"/>
                <w:szCs w:val="21"/>
              </w:rPr>
            </w:pPr>
            <w:r>
              <w:rPr>
                <w:rFonts w:ascii="等线" w:eastAsia="等线" w:hAnsi="等线" w:cs="等线" w:hint="eastAsia"/>
                <w:szCs w:val="21"/>
              </w:rPr>
              <w:t>1000g以上</w:t>
            </w:r>
          </w:p>
        </w:tc>
      </w:tr>
      <w:tr w:rsidR="00E77840">
        <w:trPr>
          <w:trHeight w:val="599"/>
        </w:trPr>
        <w:tc>
          <w:tcPr>
            <w:tcW w:w="947" w:type="dxa"/>
            <w:tcBorders>
              <w:top w:val="single" w:sz="8" w:space="0" w:color="auto"/>
            </w:tcBorders>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15℃</w:t>
            </w:r>
          </w:p>
        </w:tc>
        <w:tc>
          <w:tcPr>
            <w:tcW w:w="1220" w:type="dxa"/>
            <w:tcBorders>
              <w:top w:val="single" w:sz="8" w:space="0" w:color="auto"/>
            </w:tcBorders>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2.8</w:t>
            </w:r>
          </w:p>
        </w:tc>
        <w:tc>
          <w:tcPr>
            <w:tcW w:w="1293" w:type="dxa"/>
            <w:tcBorders>
              <w:top w:val="single" w:sz="8" w:space="0" w:color="auto"/>
            </w:tcBorders>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2.5</w:t>
            </w:r>
          </w:p>
        </w:tc>
        <w:tc>
          <w:tcPr>
            <w:tcW w:w="1273" w:type="dxa"/>
            <w:tcBorders>
              <w:top w:val="single" w:sz="8" w:space="0" w:color="auto"/>
            </w:tcBorders>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1.8</w:t>
            </w:r>
          </w:p>
        </w:tc>
        <w:tc>
          <w:tcPr>
            <w:tcW w:w="1231" w:type="dxa"/>
            <w:tcBorders>
              <w:top w:val="single" w:sz="8" w:space="0" w:color="auto"/>
            </w:tcBorders>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1.5</w:t>
            </w:r>
          </w:p>
        </w:tc>
        <w:tc>
          <w:tcPr>
            <w:tcW w:w="1252" w:type="dxa"/>
            <w:tcBorders>
              <w:top w:val="single" w:sz="8" w:space="0" w:color="auto"/>
            </w:tcBorders>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1.2</w:t>
            </w:r>
          </w:p>
        </w:tc>
        <w:tc>
          <w:tcPr>
            <w:tcW w:w="1137" w:type="dxa"/>
            <w:tcBorders>
              <w:top w:val="single" w:sz="8" w:space="0" w:color="auto"/>
            </w:tcBorders>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1.0</w:t>
            </w:r>
          </w:p>
        </w:tc>
      </w:tr>
      <w:tr w:rsidR="00E77840">
        <w:trPr>
          <w:trHeight w:val="599"/>
        </w:trPr>
        <w:tc>
          <w:tcPr>
            <w:tcW w:w="947"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18℃</w:t>
            </w:r>
          </w:p>
        </w:tc>
        <w:tc>
          <w:tcPr>
            <w:tcW w:w="1220"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3.0</w:t>
            </w:r>
          </w:p>
        </w:tc>
        <w:tc>
          <w:tcPr>
            <w:tcW w:w="1293"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2.8</w:t>
            </w:r>
          </w:p>
        </w:tc>
        <w:tc>
          <w:tcPr>
            <w:tcW w:w="1273"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2.2</w:t>
            </w:r>
          </w:p>
        </w:tc>
        <w:tc>
          <w:tcPr>
            <w:tcW w:w="1231"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2.1</w:t>
            </w:r>
          </w:p>
        </w:tc>
        <w:tc>
          <w:tcPr>
            <w:tcW w:w="1252"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1.8</w:t>
            </w:r>
          </w:p>
        </w:tc>
        <w:tc>
          <w:tcPr>
            <w:tcW w:w="1137"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1.5</w:t>
            </w:r>
          </w:p>
        </w:tc>
      </w:tr>
      <w:tr w:rsidR="00E77840">
        <w:trPr>
          <w:trHeight w:val="599"/>
        </w:trPr>
        <w:tc>
          <w:tcPr>
            <w:tcW w:w="947"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lastRenderedPageBreak/>
              <w:t>20℃</w:t>
            </w:r>
          </w:p>
        </w:tc>
        <w:tc>
          <w:tcPr>
            <w:tcW w:w="1220"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4.0</w:t>
            </w:r>
          </w:p>
        </w:tc>
        <w:tc>
          <w:tcPr>
            <w:tcW w:w="1293"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3.2</w:t>
            </w:r>
          </w:p>
        </w:tc>
        <w:tc>
          <w:tcPr>
            <w:tcW w:w="1273"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2.8</w:t>
            </w:r>
          </w:p>
        </w:tc>
        <w:tc>
          <w:tcPr>
            <w:tcW w:w="1231"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2.2</w:t>
            </w:r>
          </w:p>
        </w:tc>
        <w:tc>
          <w:tcPr>
            <w:tcW w:w="1252"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2.0</w:t>
            </w:r>
          </w:p>
        </w:tc>
        <w:tc>
          <w:tcPr>
            <w:tcW w:w="1137"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1.8</w:t>
            </w:r>
          </w:p>
        </w:tc>
      </w:tr>
      <w:tr w:rsidR="00E77840">
        <w:trPr>
          <w:trHeight w:val="430"/>
        </w:trPr>
        <w:tc>
          <w:tcPr>
            <w:tcW w:w="947"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23℃</w:t>
            </w:r>
          </w:p>
        </w:tc>
        <w:tc>
          <w:tcPr>
            <w:tcW w:w="1220"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4.1</w:t>
            </w:r>
          </w:p>
        </w:tc>
        <w:tc>
          <w:tcPr>
            <w:tcW w:w="1293"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3.6</w:t>
            </w:r>
          </w:p>
        </w:tc>
        <w:tc>
          <w:tcPr>
            <w:tcW w:w="1273"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3.3</w:t>
            </w:r>
          </w:p>
        </w:tc>
        <w:tc>
          <w:tcPr>
            <w:tcW w:w="1231"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3.0</w:t>
            </w:r>
          </w:p>
        </w:tc>
        <w:tc>
          <w:tcPr>
            <w:tcW w:w="1252"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2.6</w:t>
            </w:r>
          </w:p>
        </w:tc>
        <w:tc>
          <w:tcPr>
            <w:tcW w:w="1137" w:type="dxa"/>
            <w:shd w:val="clear" w:color="auto" w:fill="auto"/>
            <w:vAlign w:val="center"/>
          </w:tcPr>
          <w:p w:rsidR="00E77840" w:rsidRDefault="00D723D4">
            <w:pPr>
              <w:widowControl/>
              <w:jc w:val="center"/>
              <w:textAlignment w:val="center"/>
              <w:rPr>
                <w:rFonts w:ascii="等线" w:eastAsia="等线" w:hAnsi="等线" w:cs="等线"/>
                <w:color w:val="000000"/>
                <w:kern w:val="0"/>
                <w:szCs w:val="21"/>
                <w:lang w:bidi="ar"/>
              </w:rPr>
            </w:pPr>
            <w:r>
              <w:rPr>
                <w:rFonts w:ascii="等线" w:eastAsia="等线" w:hAnsi="等线" w:cs="等线" w:hint="eastAsia"/>
                <w:color w:val="000000"/>
                <w:kern w:val="0"/>
                <w:szCs w:val="21"/>
                <w:lang w:bidi="ar"/>
              </w:rPr>
              <w:t>2.2</w:t>
            </w:r>
          </w:p>
        </w:tc>
      </w:tr>
      <w:tr w:rsidR="00E77840">
        <w:trPr>
          <w:trHeight w:val="430"/>
        </w:trPr>
        <w:tc>
          <w:tcPr>
            <w:tcW w:w="947"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25℃</w:t>
            </w:r>
          </w:p>
        </w:tc>
        <w:tc>
          <w:tcPr>
            <w:tcW w:w="1220"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4.3</w:t>
            </w:r>
          </w:p>
        </w:tc>
        <w:tc>
          <w:tcPr>
            <w:tcW w:w="1293"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3.8</w:t>
            </w:r>
          </w:p>
        </w:tc>
        <w:tc>
          <w:tcPr>
            <w:tcW w:w="1273"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3.6</w:t>
            </w:r>
          </w:p>
        </w:tc>
        <w:tc>
          <w:tcPr>
            <w:tcW w:w="1231"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3.3</w:t>
            </w:r>
          </w:p>
        </w:tc>
        <w:tc>
          <w:tcPr>
            <w:tcW w:w="1252"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2.7</w:t>
            </w:r>
          </w:p>
        </w:tc>
        <w:tc>
          <w:tcPr>
            <w:tcW w:w="1137"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2.3</w:t>
            </w:r>
          </w:p>
        </w:tc>
      </w:tr>
      <w:tr w:rsidR="00E77840">
        <w:trPr>
          <w:trHeight w:val="430"/>
        </w:trPr>
        <w:tc>
          <w:tcPr>
            <w:tcW w:w="947"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27℃</w:t>
            </w:r>
          </w:p>
        </w:tc>
        <w:tc>
          <w:tcPr>
            <w:tcW w:w="1220"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4.5</w:t>
            </w:r>
          </w:p>
        </w:tc>
        <w:tc>
          <w:tcPr>
            <w:tcW w:w="1293"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4.2</w:t>
            </w:r>
          </w:p>
        </w:tc>
        <w:tc>
          <w:tcPr>
            <w:tcW w:w="1273"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3.8</w:t>
            </w:r>
          </w:p>
        </w:tc>
        <w:tc>
          <w:tcPr>
            <w:tcW w:w="1231"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3.5</w:t>
            </w:r>
          </w:p>
        </w:tc>
        <w:tc>
          <w:tcPr>
            <w:tcW w:w="1252"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2.8</w:t>
            </w:r>
          </w:p>
        </w:tc>
        <w:tc>
          <w:tcPr>
            <w:tcW w:w="1137"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2.4</w:t>
            </w:r>
          </w:p>
        </w:tc>
      </w:tr>
      <w:tr w:rsidR="00E77840">
        <w:trPr>
          <w:trHeight w:val="430"/>
        </w:trPr>
        <w:tc>
          <w:tcPr>
            <w:tcW w:w="947"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30℃</w:t>
            </w:r>
          </w:p>
        </w:tc>
        <w:tc>
          <w:tcPr>
            <w:tcW w:w="1220"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4.7</w:t>
            </w:r>
          </w:p>
        </w:tc>
        <w:tc>
          <w:tcPr>
            <w:tcW w:w="1293"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4.4</w:t>
            </w:r>
          </w:p>
        </w:tc>
        <w:tc>
          <w:tcPr>
            <w:tcW w:w="1273"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3.9</w:t>
            </w:r>
          </w:p>
        </w:tc>
        <w:tc>
          <w:tcPr>
            <w:tcW w:w="1231"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3.7</w:t>
            </w:r>
          </w:p>
        </w:tc>
        <w:tc>
          <w:tcPr>
            <w:tcW w:w="1252"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3.2</w:t>
            </w:r>
          </w:p>
        </w:tc>
        <w:tc>
          <w:tcPr>
            <w:tcW w:w="1137"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2.5</w:t>
            </w:r>
          </w:p>
        </w:tc>
      </w:tr>
      <w:tr w:rsidR="00E77840">
        <w:trPr>
          <w:trHeight w:val="430"/>
        </w:trPr>
        <w:tc>
          <w:tcPr>
            <w:tcW w:w="947"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32℃</w:t>
            </w:r>
          </w:p>
        </w:tc>
        <w:tc>
          <w:tcPr>
            <w:tcW w:w="1220"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4.6</w:t>
            </w:r>
          </w:p>
        </w:tc>
        <w:tc>
          <w:tcPr>
            <w:tcW w:w="1293"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4.2</w:t>
            </w:r>
          </w:p>
        </w:tc>
        <w:tc>
          <w:tcPr>
            <w:tcW w:w="1273"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3.7</w:t>
            </w:r>
          </w:p>
        </w:tc>
        <w:tc>
          <w:tcPr>
            <w:tcW w:w="1231"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3.5</w:t>
            </w:r>
          </w:p>
        </w:tc>
        <w:tc>
          <w:tcPr>
            <w:tcW w:w="1252"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3.0</w:t>
            </w:r>
          </w:p>
        </w:tc>
        <w:tc>
          <w:tcPr>
            <w:tcW w:w="1137" w:type="dxa"/>
            <w:shd w:val="clear" w:color="auto" w:fill="auto"/>
          </w:tcPr>
          <w:p w:rsidR="00E77840" w:rsidRDefault="00D723D4">
            <w:pPr>
              <w:widowControl/>
              <w:jc w:val="center"/>
              <w:textAlignment w:val="center"/>
              <w:rPr>
                <w:rFonts w:ascii="等线" w:eastAsia="等线" w:hAnsi="等线" w:cs="等线"/>
                <w:color w:val="000000"/>
                <w:szCs w:val="21"/>
              </w:rPr>
            </w:pPr>
            <w:r>
              <w:rPr>
                <w:rFonts w:ascii="等线" w:eastAsia="等线" w:hAnsi="等线" w:cs="等线" w:hint="eastAsia"/>
                <w:color w:val="000000"/>
                <w:kern w:val="0"/>
                <w:szCs w:val="21"/>
                <w:lang w:bidi="ar"/>
              </w:rPr>
              <w:t>2.4</w:t>
            </w:r>
          </w:p>
        </w:tc>
      </w:tr>
    </w:tbl>
    <w:p w:rsidR="00E77840" w:rsidRDefault="00D723D4">
      <w:pPr>
        <w:pStyle w:val="a0"/>
        <w:numPr>
          <w:ilvl w:val="0"/>
          <w:numId w:val="0"/>
        </w:numPr>
        <w:spacing w:before="312" w:after="312"/>
        <w:ind w:firstLineChars="200" w:firstLine="420"/>
        <w:jc w:val="left"/>
        <w:rPr>
          <w:rFonts w:ascii="等线" w:eastAsia="等线" w:hAnsi="等线" w:cs="等线"/>
          <w:bCs/>
        </w:rPr>
      </w:pPr>
      <w:bookmarkStart w:id="0" w:name="_Toc77701812"/>
      <w:bookmarkStart w:id="1" w:name="_Toc77929409"/>
      <w:r>
        <w:rPr>
          <w:rFonts w:ascii="等线" w:eastAsia="等线" w:hAnsi="等线" w:cs="等线" w:hint="eastAsia"/>
          <w:bCs/>
        </w:rPr>
        <w:t>上表反映了水温对投饵率的影响，同时也充分考虑到投饵率对东阿黄河鲤鱼体型的影响。</w:t>
      </w:r>
    </w:p>
    <w:bookmarkEnd w:id="0"/>
    <w:bookmarkEnd w:id="1"/>
    <w:p w:rsidR="00E77840" w:rsidRDefault="00D723D4">
      <w:pPr>
        <w:pStyle w:val="ac"/>
        <w:ind w:firstLine="420"/>
        <w:rPr>
          <w:rFonts w:ascii="黑体" w:eastAsia="黑体"/>
        </w:rPr>
      </w:pPr>
      <w:r>
        <w:rPr>
          <w:rFonts w:hint="eastAsia"/>
        </w:rPr>
        <w:t xml:space="preserve">3  </w:t>
      </w:r>
      <w:r>
        <w:rPr>
          <w:rFonts w:ascii="黑体" w:eastAsia="黑体" w:hint="eastAsia"/>
        </w:rPr>
        <w:t>水质调控</w:t>
      </w:r>
    </w:p>
    <w:p w:rsidR="00E77840" w:rsidRDefault="00D723D4">
      <w:pPr>
        <w:pStyle w:val="ac"/>
        <w:ind w:firstLine="420"/>
        <w:rPr>
          <w:rFonts w:ascii="等线" w:eastAsia="等线" w:hAnsi="等线" w:cs="等线"/>
        </w:rPr>
      </w:pPr>
      <w:r>
        <w:rPr>
          <w:rFonts w:ascii="等线" w:eastAsia="等线" w:hAnsi="等线" w:cs="等线" w:hint="eastAsia"/>
        </w:rPr>
        <w:t>标准规定了水质调节的总体目标和调节方法。</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水质管理要求“肥、活、嫩、爽”。溶解氧≥4.5mg/l，透明度25cm～35cm ,ph值7.5～8.5。亚硝酸氮（NO</w:t>
      </w:r>
      <w:r>
        <w:rPr>
          <w:rFonts w:ascii="等线" w:eastAsia="等线" w:hAnsi="等线" w:cs="等线" w:hint="eastAsia"/>
          <w:color w:val="000000"/>
          <w:vertAlign w:val="subscript"/>
        </w:rPr>
        <w:t>2</w:t>
      </w:r>
      <w:r>
        <w:rPr>
          <w:rFonts w:ascii="等线" w:eastAsia="等线" w:hAnsi="等线" w:cs="等线" w:hint="eastAsia"/>
          <w:color w:val="000000"/>
          <w:vertAlign w:val="superscript"/>
        </w:rPr>
        <w:t>+</w:t>
      </w:r>
      <w:r>
        <w:rPr>
          <w:rFonts w:ascii="等线" w:eastAsia="等线" w:hAnsi="等线" w:cs="等线" w:hint="eastAsia"/>
          <w:color w:val="000000"/>
        </w:rPr>
        <w:t>）≤0.05mg/l,硫化氢（H</w:t>
      </w:r>
      <w:r>
        <w:rPr>
          <w:rFonts w:ascii="等线" w:eastAsia="等线" w:hAnsi="等线" w:cs="等线" w:hint="eastAsia"/>
          <w:color w:val="000000"/>
          <w:vertAlign w:val="subscript"/>
        </w:rPr>
        <w:t>2</w:t>
      </w:r>
      <w:r>
        <w:rPr>
          <w:rFonts w:ascii="等线" w:eastAsia="等线" w:hAnsi="等线" w:cs="等线" w:hint="eastAsia"/>
          <w:color w:val="000000"/>
        </w:rPr>
        <w:t>S）不得检出；底泥总氮&lt;1.5%。</w:t>
      </w:r>
    </w:p>
    <w:p w:rsidR="00E77840" w:rsidRDefault="00D723D4">
      <w:pPr>
        <w:pStyle w:val="ac"/>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物理调节、化学调节、生物调节以及生态调节方法。</w:t>
      </w:r>
    </w:p>
    <w:p w:rsidR="00E77840" w:rsidRDefault="00D723D4">
      <w:pPr>
        <w:pStyle w:val="ac"/>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强调了“高温生长季节，每7d～10d加注新水一次，每次不超总水体的10％。开春及越冬前排出老水约30％。池塘工程化循环水养殖，每日在投饵1.5h～2h后开始排污，直至水色变清。生产过程非必要状态，不应进行大换水”稳定水质的综合要求，减少环境应激造成免疫力下降的影响。</w:t>
      </w:r>
    </w:p>
    <w:p w:rsidR="00E77840" w:rsidRDefault="00D723D4">
      <w:pPr>
        <w:pStyle w:val="ac"/>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为减少化学药物调节水质过程中对水质产生不良影响，规定了“应定期使用生石灰15～20kg/亩（667m</w:t>
      </w:r>
      <w:r>
        <w:rPr>
          <w:rFonts w:asciiTheme="minorEastAsia" w:eastAsiaTheme="minorEastAsia" w:hAnsiTheme="minorEastAsia" w:cstheme="minorEastAsia" w:hint="eastAsia"/>
          <w:kern w:val="2"/>
          <w:szCs w:val="21"/>
          <w:vertAlign w:val="superscript"/>
        </w:rPr>
        <w:t>2</w:t>
      </w:r>
      <w:r>
        <w:rPr>
          <w:rFonts w:asciiTheme="minorEastAsia" w:eastAsiaTheme="minorEastAsia" w:hAnsiTheme="minorEastAsia" w:cstheme="minorEastAsia" w:hint="eastAsia"/>
          <w:kern w:val="2"/>
          <w:szCs w:val="21"/>
        </w:rPr>
        <w:t>）调节酸碱度，维持PH值长期保持在7.5～8.5之间。 应用活性腐殖酸1kg/亩（667m</w:t>
      </w:r>
      <w:r>
        <w:rPr>
          <w:rFonts w:asciiTheme="minorEastAsia" w:eastAsiaTheme="minorEastAsia" w:hAnsiTheme="minorEastAsia" w:cstheme="minorEastAsia" w:hint="eastAsia"/>
          <w:kern w:val="2"/>
          <w:szCs w:val="21"/>
          <w:vertAlign w:val="superscript"/>
        </w:rPr>
        <w:t>2</w:t>
      </w:r>
      <w:r>
        <w:rPr>
          <w:rFonts w:asciiTheme="minorEastAsia" w:eastAsiaTheme="minorEastAsia" w:hAnsiTheme="minorEastAsia" w:cstheme="minorEastAsia" w:hint="eastAsia"/>
          <w:kern w:val="2"/>
          <w:szCs w:val="21"/>
        </w:rPr>
        <w:t>）～2kg/亩（667m</w:t>
      </w:r>
      <w:r>
        <w:rPr>
          <w:rFonts w:asciiTheme="minorEastAsia" w:eastAsiaTheme="minorEastAsia" w:hAnsiTheme="minorEastAsia" w:cstheme="minorEastAsia" w:hint="eastAsia"/>
          <w:kern w:val="2"/>
          <w:szCs w:val="21"/>
          <w:vertAlign w:val="superscript"/>
        </w:rPr>
        <w:t>2</w:t>
      </w:r>
      <w:r>
        <w:rPr>
          <w:rFonts w:asciiTheme="minorEastAsia" w:eastAsiaTheme="minorEastAsia" w:hAnsiTheme="minorEastAsia" w:cstheme="minorEastAsia" w:hint="eastAsia"/>
          <w:kern w:val="2"/>
          <w:szCs w:val="21"/>
        </w:rPr>
        <w:t>）、膨润土75～150g/m³等络合剂、螯合剂降低有毒成分浓度”的方法。</w:t>
      </w:r>
    </w:p>
    <w:p w:rsidR="00E77840" w:rsidRDefault="00D723D4">
      <w:pPr>
        <w:pStyle w:val="ac"/>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生物调节章节中将“单胞藻，调节藻类种群，抑制有害藻类过度繁殖”放在首位，是东阿黄河鲤鱼鱼肉质、风味保持所采取的重要措施之一。</w:t>
      </w:r>
    </w:p>
    <w:p w:rsidR="00E77840" w:rsidRDefault="00D723D4">
      <w:pPr>
        <w:pStyle w:val="ac"/>
        <w:ind w:firstLine="420"/>
        <w:rPr>
          <w:rFonts w:asciiTheme="minorEastAsia" w:eastAsiaTheme="minorEastAsia" w:hAnsiTheme="minorEastAsia" w:cstheme="minorEastAsia"/>
          <w:kern w:val="2"/>
          <w:szCs w:val="21"/>
        </w:rPr>
      </w:pPr>
      <w:r>
        <w:rPr>
          <w:rFonts w:asciiTheme="minorEastAsia" w:eastAsiaTheme="minorEastAsia" w:hAnsiTheme="minorEastAsia" w:cstheme="minorEastAsia" w:hint="eastAsia"/>
          <w:kern w:val="2"/>
          <w:szCs w:val="21"/>
        </w:rPr>
        <w:t>生态调节采用“宜设置鱼菜共生生态浮床。浮床面积占水面面积5%～8%”，目的就是可以在养殖期间，尤其是中后期，控制和减少水中有害物质，如氨氮、亚硝酸盐，有害藻类毒素等大量产生，影响鱼类生长，甚至引发疾病。</w:t>
      </w:r>
    </w:p>
    <w:p w:rsidR="00E77840" w:rsidRDefault="00D723D4">
      <w:pPr>
        <w:pStyle w:val="ac"/>
        <w:ind w:firstLine="420"/>
        <w:rPr>
          <w:rFonts w:ascii="黑体" w:eastAsia="黑体"/>
        </w:rPr>
      </w:pPr>
      <w:r>
        <w:rPr>
          <w:rFonts w:hint="eastAsia"/>
        </w:rPr>
        <w:t xml:space="preserve">4  </w:t>
      </w:r>
      <w:r>
        <w:rPr>
          <w:rFonts w:ascii="黑体" w:eastAsia="黑体" w:hint="eastAsia"/>
        </w:rPr>
        <w:t>日常管理</w:t>
      </w:r>
    </w:p>
    <w:p w:rsidR="00E77840" w:rsidRDefault="00D723D4">
      <w:pPr>
        <w:widowControl/>
        <w:ind w:firstLineChars="200" w:firstLine="420"/>
        <w:jc w:val="left"/>
        <w:rPr>
          <w:rFonts w:ascii="宋体" w:hAnsi="宋体" w:cs="宋体"/>
          <w:color w:val="000000"/>
        </w:rPr>
      </w:pPr>
      <w:r>
        <w:rPr>
          <w:rFonts w:ascii="宋体" w:hAnsi="宋体" w:cs="宋体" w:hint="eastAsia"/>
          <w:color w:val="000000"/>
        </w:rPr>
        <w:t>每天早中晚三巡塘，观察水质变化、吃食、缺氧、病害等情况。</w:t>
      </w:r>
    </w:p>
    <w:p w:rsidR="00E77840" w:rsidRDefault="00D723D4">
      <w:pPr>
        <w:widowControl/>
        <w:ind w:firstLineChars="200" w:firstLine="420"/>
        <w:jc w:val="left"/>
        <w:rPr>
          <w:rFonts w:ascii="宋体" w:eastAsia="等线" w:hAnsi="宋体" w:cs="宋体"/>
          <w:color w:val="000000"/>
        </w:rPr>
      </w:pPr>
      <w:r>
        <w:rPr>
          <w:rFonts w:ascii="宋体" w:hAnsi="宋体" w:cs="宋体" w:hint="eastAsia"/>
          <w:color w:val="000000"/>
        </w:rPr>
        <w:t>每天将水质、吃食、天气、气温、水温、投喂、病害防治变化准确记录。标准强调了“依据日志记录，每</w:t>
      </w:r>
      <w:r>
        <w:rPr>
          <w:rFonts w:ascii="宋体" w:hAnsi="宋体" w:cs="宋体" w:hint="eastAsia"/>
          <w:color w:val="000000"/>
        </w:rPr>
        <w:t>5d</w:t>
      </w:r>
      <w:r>
        <w:rPr>
          <w:rFonts w:ascii="宋体" w:hAnsi="宋体" w:cs="宋体" w:hint="eastAsia"/>
          <w:color w:val="000000"/>
        </w:rPr>
        <w:t>～</w:t>
      </w:r>
      <w:r>
        <w:rPr>
          <w:rFonts w:ascii="宋体" w:hAnsi="宋体" w:cs="宋体" w:hint="eastAsia"/>
          <w:color w:val="000000"/>
        </w:rPr>
        <w:t>7d</w:t>
      </w:r>
      <w:r>
        <w:rPr>
          <w:rFonts w:ascii="宋体" w:hAnsi="宋体" w:cs="宋体" w:hint="eastAsia"/>
          <w:color w:val="000000"/>
        </w:rPr>
        <w:t>调整一次。每</w:t>
      </w:r>
      <w:r>
        <w:rPr>
          <w:rFonts w:ascii="宋体" w:hAnsi="宋体" w:cs="宋体" w:hint="eastAsia"/>
          <w:color w:val="000000"/>
        </w:rPr>
        <w:t>15d</w:t>
      </w:r>
      <w:r>
        <w:rPr>
          <w:rFonts w:ascii="宋体" w:hAnsi="宋体" w:cs="宋体" w:hint="eastAsia"/>
          <w:color w:val="000000"/>
        </w:rPr>
        <w:t>～</w:t>
      </w:r>
      <w:r>
        <w:rPr>
          <w:rFonts w:ascii="宋体" w:hAnsi="宋体" w:cs="宋体" w:hint="eastAsia"/>
          <w:color w:val="000000"/>
        </w:rPr>
        <w:t>20d,</w:t>
      </w:r>
      <w:r>
        <w:rPr>
          <w:rFonts w:ascii="宋体" w:hAnsi="宋体" w:cs="宋体" w:hint="eastAsia"/>
          <w:color w:val="000000"/>
        </w:rPr>
        <w:t>达标测算一次，检查实际生长，确定饵料调整方案，并做好记录”。适时调整投饵率，使养殖对象即既保持快速生长，又能够保持体型，降低高投饵率造成体型变差的影响。</w:t>
      </w:r>
      <w:r>
        <w:rPr>
          <w:rFonts w:ascii="等线" w:eastAsia="等线" w:hAnsi="等线" w:cs="等线" w:hint="eastAsia"/>
        </w:rPr>
        <w:t>投喂坚持“四定”原则，按GB 13078和NY 5071、NY 5071的规定执行。</w:t>
      </w:r>
    </w:p>
    <w:p w:rsidR="00E77840" w:rsidRDefault="00D723D4">
      <w:pPr>
        <w:widowControl/>
        <w:ind w:firstLineChars="200" w:firstLine="420"/>
        <w:jc w:val="left"/>
        <w:rPr>
          <w:rFonts w:ascii="宋体" w:hAnsi="宋体" w:cs="Arial"/>
          <w:bCs/>
        </w:rPr>
      </w:pPr>
      <w:r>
        <w:rPr>
          <w:rFonts w:hint="eastAsia"/>
          <w:bCs/>
        </w:rPr>
        <w:t>详细填写</w:t>
      </w:r>
      <w:r>
        <w:rPr>
          <w:rFonts w:ascii="宋体" w:hAnsi="宋体" w:cs="宋体" w:hint="eastAsia"/>
          <w:bCs/>
          <w:color w:val="000000"/>
        </w:rPr>
        <w:t>《水产养殖生产</w:t>
      </w:r>
      <w:r>
        <w:rPr>
          <w:rFonts w:ascii="宋体" w:hAnsi="宋体" w:cs="宋体" w:hint="eastAsia"/>
          <w:color w:val="000000"/>
        </w:rPr>
        <w:t>记录》、《水产养殖用药记录》、《水产品养殖销售记录》，建档保存</w:t>
      </w:r>
      <w:r>
        <w:rPr>
          <w:rFonts w:ascii="宋体" w:hAnsi="宋体" w:cs="宋体" w:hint="eastAsia"/>
          <w:color w:val="000000"/>
        </w:rPr>
        <w:t>2</w:t>
      </w:r>
      <w:r>
        <w:rPr>
          <w:rFonts w:ascii="宋体" w:hAnsi="宋体" w:cs="宋体" w:hint="eastAsia"/>
          <w:color w:val="000000"/>
        </w:rPr>
        <w:t>年以上。为加强日常管理，保障产品质量，促进品牌化建设提供依据。</w:t>
      </w:r>
      <w:r>
        <w:rPr>
          <w:rFonts w:ascii="宋体" w:hAnsi="宋体" w:cs="宋体" w:hint="eastAsia"/>
          <w:color w:val="000000"/>
        </w:rPr>
        <w:t xml:space="preserve"> </w:t>
      </w:r>
    </w:p>
    <w:p w:rsidR="00E77840" w:rsidRDefault="00D723D4">
      <w:pPr>
        <w:pStyle w:val="ac"/>
        <w:ind w:firstLine="420"/>
        <w:rPr>
          <w:rFonts w:ascii="黑体" w:eastAsia="黑体"/>
        </w:rPr>
      </w:pPr>
      <w:r>
        <w:rPr>
          <w:rFonts w:hint="eastAsia"/>
        </w:rPr>
        <w:t xml:space="preserve">5  </w:t>
      </w:r>
      <w:r>
        <w:rPr>
          <w:rFonts w:ascii="黑体" w:eastAsia="黑体" w:hint="eastAsia"/>
        </w:rPr>
        <w:t>病害防控</w:t>
      </w:r>
    </w:p>
    <w:p w:rsidR="00E77840" w:rsidRDefault="00D723D4">
      <w:pPr>
        <w:pStyle w:val="ac"/>
        <w:ind w:firstLine="420"/>
        <w:rPr>
          <w:rFonts w:ascii="等线" w:eastAsia="等线" w:hAnsi="等线" w:cs="等线"/>
        </w:rPr>
      </w:pPr>
      <w:r>
        <w:rPr>
          <w:rFonts w:ascii="等线" w:eastAsia="等线" w:hAnsi="等线" w:cs="等线" w:hint="eastAsia"/>
        </w:rPr>
        <w:t>坚持“预防为主，防治结合”。放养前，搞好池塘清整消毒；选用良好水源；苗种放养，精选有资质、信誉好企业的优质苗种。坚持检疫，苗种投放前进行检验消毒。定期进行水质调控，维持良好环境，保持水质清爽。拉网运输减少应激和创伤。</w:t>
      </w:r>
    </w:p>
    <w:p w:rsidR="00E77840" w:rsidRDefault="00D723D4">
      <w:pPr>
        <w:pStyle w:val="ac"/>
        <w:ind w:firstLine="420"/>
        <w:rPr>
          <w:rFonts w:ascii="等线" w:eastAsia="等线" w:hAnsi="等线" w:cs="等线"/>
        </w:rPr>
      </w:pPr>
      <w:r>
        <w:rPr>
          <w:rFonts w:ascii="等线" w:eastAsia="等线" w:hAnsi="等线" w:cs="等线" w:hint="eastAsia"/>
        </w:rPr>
        <w:lastRenderedPageBreak/>
        <w:t>病害防治药物符合SC/T1132规定，做到对症用药。</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以上内容体现和遵循了以防为主的原则，体现在以下几个方面：</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a) 严格检疫，宜投放健壮苗种或经消毒处理的苗种；</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b) 养殖池宜适当增加水深，彻底清淤消毒，尽量使用无污染的地下水或消毒处理后的河水；</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c) 合理养殖密度，稳定池塘理化因子和藻相；</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d) 宜全程投喂黄河鲤鱼专用饲料，提高鱼的体质和肉质，适量投喂乳酸菌、免疫多糖类；</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e) 适量套养滤食性的鱼类，实现多层次生态养殖；</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f) 应在准确诊断的基础上对症或对因用药，防止细菌继发感染等。使用药物应符合</w:t>
      </w:r>
      <w:r>
        <w:rPr>
          <w:rFonts w:ascii="等线" w:eastAsia="等线" w:hAnsi="等线" w:cs="等线" w:hint="eastAsia"/>
        </w:rPr>
        <w:t>SC/T 1132</w:t>
      </w:r>
      <w:r>
        <w:rPr>
          <w:rFonts w:ascii="等线" w:eastAsia="等线" w:hAnsi="等线" w:cs="等线" w:hint="eastAsia"/>
          <w:color w:val="000000"/>
        </w:rPr>
        <w:t>规定。</w:t>
      </w:r>
    </w:p>
    <w:p w:rsidR="00E77840" w:rsidRDefault="00D723D4">
      <w:pPr>
        <w:pStyle w:val="ac"/>
        <w:ind w:firstLine="420"/>
        <w:rPr>
          <w:rFonts w:ascii="黑体" w:eastAsia="黑体"/>
        </w:rPr>
      </w:pPr>
      <w:r>
        <w:rPr>
          <w:rFonts w:ascii="黑体" w:eastAsia="黑体" w:hint="eastAsia"/>
        </w:rPr>
        <w:t>6  休药期</w:t>
      </w:r>
    </w:p>
    <w:p w:rsidR="00E77840" w:rsidRDefault="00D723D4">
      <w:pPr>
        <w:pStyle w:val="ac"/>
        <w:ind w:firstLine="420"/>
        <w:rPr>
          <w:rFonts w:ascii="等线" w:eastAsia="等线" w:hAnsi="等线" w:cs="等线"/>
        </w:rPr>
      </w:pPr>
      <w:r>
        <w:rPr>
          <w:rFonts w:ascii="等线" w:eastAsia="等线" w:hAnsi="等线" w:cs="等线" w:hint="eastAsia"/>
        </w:rPr>
        <w:t>标准按照农业农村部渔业渔政管理局、中国水产科学院、全国水产技术总站2020年9月发布的“2020年水产养殖用药明白纸”规定执行。本规定仅仅是在成品鱼出塘销售之前的要求。</w:t>
      </w:r>
    </w:p>
    <w:p w:rsidR="00E77840" w:rsidRDefault="00D723D4">
      <w:pPr>
        <w:pStyle w:val="ac"/>
        <w:ind w:firstLine="420"/>
        <w:rPr>
          <w:rFonts w:ascii="黑体" w:eastAsia="黑体"/>
        </w:rPr>
      </w:pPr>
      <w:r>
        <w:rPr>
          <w:rFonts w:hint="eastAsia"/>
        </w:rPr>
        <w:t xml:space="preserve">7  </w:t>
      </w:r>
      <w:r>
        <w:rPr>
          <w:rFonts w:ascii="黑体" w:eastAsia="黑体" w:hint="eastAsia"/>
        </w:rPr>
        <w:t>捕捞</w:t>
      </w:r>
    </w:p>
    <w:p w:rsidR="00E77840" w:rsidRDefault="00D723D4">
      <w:pPr>
        <w:pStyle w:val="ac"/>
        <w:ind w:firstLine="420"/>
        <w:rPr>
          <w:rFonts w:ascii="等线" w:eastAsia="等线" w:hAnsi="等线" w:cs="等线"/>
          <w:color w:val="000000"/>
        </w:rPr>
      </w:pPr>
      <w:r>
        <w:rPr>
          <w:rFonts w:ascii="等线" w:eastAsia="等线" w:hAnsi="等线" w:cs="等线" w:hint="eastAsia"/>
        </w:rPr>
        <w:t>为保障运输成活率，根据长期工作经验，标准给出了捕捞活动在不同季节、不同水温条件下的参考停食时间和环境要求。即</w:t>
      </w:r>
      <w:r>
        <w:rPr>
          <w:rFonts w:ascii="等线" w:eastAsia="等线" w:hAnsi="等线" w:cs="等线" w:hint="eastAsia"/>
          <w:color w:val="000000"/>
        </w:rPr>
        <w:t>“在分池或捕出上市前应有适当的停饲期：水温在16℃以下时，应≥3d；水温16℃～25℃时，应≥2d～3d；水温在25℃以上时，应≥1d。夏、秋季起捕应在溶解氧高于2.5mg/L时进行。春冬季节起捕时间可灵活确定”。</w:t>
      </w:r>
    </w:p>
    <w:p w:rsidR="00E77840" w:rsidRDefault="00D723D4">
      <w:pPr>
        <w:pStyle w:val="ac"/>
        <w:ind w:firstLine="420"/>
        <w:rPr>
          <w:rFonts w:ascii="等线" w:eastAsia="等线" w:hAnsi="等线" w:cs="等线"/>
          <w:color w:val="000000"/>
        </w:rPr>
      </w:pPr>
      <w:r>
        <w:rPr>
          <w:rFonts w:ascii="等线" w:eastAsia="等线" w:hAnsi="等线" w:cs="等线" w:hint="eastAsia"/>
          <w:color w:val="000000"/>
        </w:rPr>
        <w:t>规定了标准化条件下东阿黄河鲤鱼商品规格宜为1100克/尾～1750克/尾。</w:t>
      </w:r>
    </w:p>
    <w:p w:rsidR="00E77840" w:rsidRDefault="00D723D4">
      <w:pPr>
        <w:pStyle w:val="ac"/>
        <w:ind w:firstLine="420"/>
        <w:rPr>
          <w:rFonts w:ascii="等线" w:eastAsia="等线" w:hAnsi="等线" w:cs="等线"/>
        </w:rPr>
      </w:pPr>
      <w:r>
        <w:rPr>
          <w:rFonts w:ascii="等线" w:eastAsia="等线" w:hAnsi="等线" w:cs="等线" w:hint="eastAsia"/>
          <w:color w:val="000000"/>
        </w:rPr>
        <w:t>同时，本标准依据</w:t>
      </w:r>
      <w:r>
        <w:rPr>
          <w:rFonts w:ascii="等线" w:eastAsia="等线" w:hAnsi="等线" w:cs="等线" w:hint="eastAsia"/>
        </w:rPr>
        <w:t>中华人民共和国农业部令（2003）第31号 《水产养殖质量安全管理规定》</w:t>
      </w:r>
      <w:r>
        <w:rPr>
          <w:rFonts w:ascii="等线" w:eastAsia="等线" w:hAnsi="等线" w:cs="等线" w:hint="eastAsia"/>
          <w:color w:val="000000"/>
        </w:rPr>
        <w:t>捕捞前应检查、确定生产安全和药物采购及使用状况，查阅投入品采购凭证、标签，包装标识；查阅《水产养殖生产记录》、《水产养殖用药记录》以及最近两年的渔药使用（处方）记录。落实最后投入渔药日期、品种和数量，明确休药期起始时间。预检药物残留浓度不超标。违禁药物不得检出。捕捞过程操作谨慎，防止造成严重内外损伤。</w:t>
      </w:r>
    </w:p>
    <w:p w:rsidR="00E77840" w:rsidRDefault="00D723D4">
      <w:pPr>
        <w:pStyle w:val="ac"/>
        <w:ind w:firstLine="420"/>
        <w:rPr>
          <w:rFonts w:ascii="黑体" w:eastAsia="黑体"/>
        </w:rPr>
      </w:pPr>
      <w:r>
        <w:rPr>
          <w:rFonts w:hint="eastAsia"/>
        </w:rPr>
        <w:t xml:space="preserve">8  </w:t>
      </w:r>
      <w:r>
        <w:rPr>
          <w:rFonts w:ascii="黑体" w:eastAsia="黑体" w:hint="eastAsia"/>
        </w:rPr>
        <w:t>净养</w:t>
      </w:r>
    </w:p>
    <w:p w:rsidR="00E77840" w:rsidRDefault="00D723D4">
      <w:pPr>
        <w:pStyle w:val="ac"/>
        <w:ind w:firstLine="420"/>
        <w:rPr>
          <w:rFonts w:ascii="等线" w:eastAsia="等线" w:hAnsi="等线" w:cs="等线"/>
        </w:rPr>
      </w:pPr>
      <w:r>
        <w:rPr>
          <w:rFonts w:ascii="等线" w:eastAsia="等线" w:hAnsi="等线" w:cs="等线" w:hint="eastAsia"/>
        </w:rPr>
        <w:t>净养处理是东阿黄河鲤鱼打造品牌渔业、保障产品质量、风味而进行的重要措施，标准对净养各环节创新性的提出指标要求。</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净养池充分消毒后，注入消毒后黄河水，保持水深1m左右。将死亡和破损的个体挑出，并按规格大小分池管理。暂养密度为5～7kg/m³，根据预检结果及休药期规定确定净养时间。无《水产养殖生产记录》、《水产养殖用药记录》或记录不完整，渔药应用品种及时间难以确定，按附录A最长休药期计。</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成品鱼每批次应进行抽检，需符合SC/T1043体长与体重关系。体重超标应适当延长净养时间。净养处理过程中，保持溶解氧浓度≥5mg/L。调整水体流速，一般控制在0.08m～0.25m/s。</w:t>
      </w:r>
    </w:p>
    <w:p w:rsidR="00E77840" w:rsidRDefault="00D723D4">
      <w:pPr>
        <w:pStyle w:val="ac"/>
        <w:ind w:firstLine="420"/>
        <w:rPr>
          <w:rFonts w:ascii="黑体" w:eastAsia="黑体"/>
        </w:rPr>
      </w:pPr>
      <w:r>
        <w:rPr>
          <w:rFonts w:hint="eastAsia"/>
        </w:rPr>
        <w:t xml:space="preserve">9  </w:t>
      </w:r>
      <w:r>
        <w:rPr>
          <w:rFonts w:ascii="黑体" w:eastAsia="黑体" w:hint="eastAsia"/>
        </w:rPr>
        <w:t>运输</w:t>
      </w:r>
    </w:p>
    <w:p w:rsidR="00E77840" w:rsidRDefault="00D723D4">
      <w:pPr>
        <w:widowControl/>
        <w:ind w:firstLineChars="200" w:firstLine="420"/>
        <w:jc w:val="left"/>
        <w:rPr>
          <w:rFonts w:ascii="等线" w:eastAsia="等线" w:hAnsi="等线" w:cs="等线"/>
        </w:rPr>
      </w:pPr>
      <w:r>
        <w:rPr>
          <w:rFonts w:ascii="等线" w:eastAsia="等线" w:hAnsi="等线" w:cs="等线" w:hint="eastAsia"/>
          <w:color w:val="000000"/>
        </w:rPr>
        <w:t>在装运过程中不应与有毒有害物品混装。工具表面光滑、易于清洗与消毒，保持洁净、无污染、无异味，装卸操作方便。短距离运输采用活鱼运输罐液氧运输；长距离选用具有温度控制装置、水循环（过滤）和增氧等功能的专用运输设施。配备有小型发电机。运鱼箱水温与池塘水温温差不应超过5℃。运输过程要定时检查水体温度和溶解氧变化情况，并做记录。装运前后不得使用未经国家和有关部门批准的渔用杀虫剂、杀菌剂和麻醉剂，不得使用国家有关规定和公告规定的禁用药物或具有直接或潜在危害的其他生物或化学添加物。运输和暂养用水水质应符GB 11607的规定。做好产地、数量、规格、价格、原始记录检查、残留预检等信息记录。</w:t>
      </w:r>
    </w:p>
    <w:p w:rsidR="00E77840" w:rsidRDefault="00D723D4">
      <w:pPr>
        <w:pStyle w:val="ac"/>
        <w:ind w:firstLine="420"/>
        <w:rPr>
          <w:rFonts w:ascii="等线" w:eastAsia="等线" w:hAnsi="等线" w:cs="等线"/>
        </w:rPr>
      </w:pPr>
      <w:r>
        <w:rPr>
          <w:rFonts w:ascii="等线" w:eastAsia="等线" w:hAnsi="等线" w:cs="等线" w:hint="eastAsia"/>
        </w:rPr>
        <w:lastRenderedPageBreak/>
        <w:t>以上标准对运输形式、用品用具、水源卫生、装卸细节提出来具体要求，以保障产品质量和外在形象。</w:t>
      </w:r>
    </w:p>
    <w:p w:rsidR="00E77840" w:rsidRDefault="00D723D4">
      <w:pPr>
        <w:pStyle w:val="ac"/>
        <w:ind w:firstLine="420"/>
      </w:pPr>
      <w:r>
        <w:rPr>
          <w:rFonts w:hint="eastAsia"/>
        </w:rPr>
        <w:t xml:space="preserve">10  </w:t>
      </w:r>
      <w:r>
        <w:rPr>
          <w:rFonts w:ascii="黑体" w:eastAsia="黑体" w:hint="eastAsia"/>
        </w:rPr>
        <w:t>质量追溯</w:t>
      </w:r>
    </w:p>
    <w:p w:rsidR="00E77840" w:rsidRDefault="00D723D4">
      <w:pPr>
        <w:spacing w:line="0" w:lineRule="atLeast"/>
        <w:ind w:firstLineChars="200" w:firstLine="420"/>
        <w:jc w:val="left"/>
        <w:rPr>
          <w:rFonts w:ascii="等线" w:eastAsia="等线" w:hAnsi="等线" w:cs="等线"/>
          <w:szCs w:val="21"/>
        </w:rPr>
      </w:pPr>
      <w:r>
        <w:rPr>
          <w:rFonts w:ascii="等线" w:eastAsia="等线" w:hAnsi="等线" w:cs="等线" w:hint="eastAsia"/>
          <w:szCs w:val="21"/>
        </w:rPr>
        <w:t>标准在质量追溯章节体现了SC/T3043、SC/T3044、SC/T3045的规定。具体表现在：</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（1）成品鱼销售须附加标签或标识牌。内容明确、规范、完善，应用准确，符合SC/T3043的规定。</w:t>
      </w:r>
    </w:p>
    <w:p w:rsidR="00E77840" w:rsidRDefault="00D723D4">
      <w:pPr>
        <w:widowControl/>
        <w:ind w:firstLineChars="200" w:firstLine="420"/>
        <w:jc w:val="left"/>
        <w:rPr>
          <w:rFonts w:ascii="等线" w:eastAsia="等线" w:hAnsi="等线" w:cs="等线"/>
          <w:color w:val="000000"/>
        </w:rPr>
      </w:pPr>
      <w:r>
        <w:rPr>
          <w:rFonts w:ascii="等线" w:eastAsia="等线" w:hAnsi="等线" w:cs="等线" w:hint="eastAsia"/>
          <w:color w:val="000000"/>
        </w:rPr>
        <w:t>（2）可追溯编码须突出唯一性、开放性、实用性和简明性，应符合SC/T3045的规定。</w:t>
      </w:r>
    </w:p>
    <w:p w:rsidR="00E77840" w:rsidRDefault="00D723D4">
      <w:pPr>
        <w:widowControl/>
        <w:ind w:firstLineChars="200" w:firstLine="420"/>
        <w:jc w:val="left"/>
        <w:rPr>
          <w:rFonts w:ascii="等线" w:eastAsia="等线" w:hAnsi="等线" w:cs="等线"/>
        </w:rPr>
      </w:pPr>
      <w:r>
        <w:rPr>
          <w:rFonts w:ascii="等线" w:eastAsia="等线" w:hAnsi="等线" w:cs="等线" w:hint="eastAsia"/>
          <w:color w:val="000000"/>
        </w:rPr>
        <w:t>（3）可追溯信息采集符合SC/T 3045-2014的规定。包括：养殖、投入品采购、投入品使用、检验（自行检验或委托检验）、捕捞、包装、销售、储运等环节信息。建立信息记录、生产记录和生产档案。信息采集应真实、及时、规范。纸质记录及其他形式记录应及时归档，并采取相应的安全措施保存。电子信息应审核无误后方可录入。信息录入应专机专用、专人专用，并遵守信息安全规定，所有信息档案在生产周期结束后应至少保存2年，且不少于2个生产周期。</w:t>
      </w:r>
    </w:p>
    <w:p w:rsidR="00E77840" w:rsidRDefault="00D723D4">
      <w:pPr>
        <w:pStyle w:val="5"/>
        <w:numPr>
          <w:ilvl w:val="0"/>
          <w:numId w:val="3"/>
        </w:numPr>
        <w:spacing w:line="0" w:lineRule="atLeast"/>
        <w:ind w:firstLineChars="200" w:firstLine="560"/>
        <w:rPr>
          <w:rFonts w:ascii="宋体" w:hAnsi="宋体"/>
        </w:rPr>
      </w:pPr>
      <w:r>
        <w:rPr>
          <w:rFonts w:ascii="宋体" w:hAnsi="宋体" w:hint="eastAsia"/>
        </w:rPr>
        <w:t>主要试验（或验证）的分析、综述报告，技术经济论证，预期的经济效果</w:t>
      </w:r>
    </w:p>
    <w:p w:rsidR="00E77840" w:rsidRDefault="00D723D4">
      <w:pPr>
        <w:pStyle w:val="a6"/>
        <w:adjustRightInd w:val="0"/>
        <w:snapToGrid w:val="0"/>
        <w:ind w:right="28" w:firstLineChars="200" w:firstLine="402"/>
      </w:pPr>
      <w:r>
        <w:rPr>
          <w:b/>
          <w:bCs/>
        </w:rPr>
        <w:t>1</w:t>
      </w:r>
      <w:r>
        <w:rPr>
          <w:b/>
          <w:bCs/>
        </w:rPr>
        <w:t>、主要试验（或验证）的分析</w:t>
      </w:r>
    </w:p>
    <w:p w:rsidR="00E77840" w:rsidRDefault="00D723D4">
      <w:pPr>
        <w:pStyle w:val="ac"/>
        <w:ind w:firstLine="420"/>
        <w:rPr>
          <w:rFonts w:ascii="等线" w:eastAsia="等线" w:hAnsi="等线" w:cs="等线"/>
          <w:szCs w:val="21"/>
        </w:rPr>
      </w:pPr>
      <w:r>
        <w:rPr>
          <w:rFonts w:ascii="等线" w:eastAsia="等线" w:hAnsi="等线" w:cs="等线" w:hint="eastAsia"/>
          <w:szCs w:val="21"/>
        </w:rPr>
        <w:t>标准编制组收集了国内外相关资料，向东阿黄河鲤鱼养殖场、合作社、其他地方养殖企业的技术人员进行了调研，并充分征求了科研、管理等相关部门人员的意见，在总结各方面意见的基础上确定了标准的技术内容。</w:t>
      </w:r>
    </w:p>
    <w:p w:rsidR="00E77840" w:rsidRDefault="00D723D4">
      <w:pPr>
        <w:pStyle w:val="ac"/>
        <w:ind w:firstLine="420"/>
        <w:rPr>
          <w:rFonts w:ascii="等线" w:eastAsia="等线" w:hAnsi="等线" w:cs="等线"/>
          <w:szCs w:val="21"/>
        </w:rPr>
      </w:pPr>
      <w:r>
        <w:rPr>
          <w:rFonts w:ascii="等线" w:eastAsia="等线" w:hAnsi="等线" w:cs="等线" w:hint="eastAsia"/>
          <w:szCs w:val="21"/>
        </w:rPr>
        <w:t>在标准草案的编写过程中，起草组查阅了大量的相关文献和专业书籍，充分考虑了不同地区的技术特点和差异，标准的技术内容是对东阿黄河鲤鱼养殖产业成果的总结，具有较好的代表性。</w:t>
      </w:r>
    </w:p>
    <w:p w:rsidR="00E77840" w:rsidRDefault="00D723D4">
      <w:pPr>
        <w:pStyle w:val="a6"/>
        <w:adjustRightInd w:val="0"/>
        <w:snapToGrid w:val="0"/>
        <w:ind w:right="28" w:firstLineChars="200"/>
        <w:rPr>
          <w:rFonts w:ascii="等线" w:eastAsia="等线" w:hAnsi="等线" w:cs="等线"/>
          <w:sz w:val="21"/>
          <w:szCs w:val="21"/>
        </w:rPr>
      </w:pPr>
      <w:r>
        <w:rPr>
          <w:rFonts w:ascii="等线" w:eastAsia="等线" w:hAnsi="等线" w:cs="等线" w:hint="eastAsia"/>
          <w:sz w:val="21"/>
          <w:szCs w:val="21"/>
        </w:rPr>
        <w:t>标准征求意见稿完成后，起草组向包括教学、科研、管理、生产的专家/单位征求了意见，并根据意见对标准的征求意见稿进行了修改，针对意见中不一致的问题，向相关人员进行了调研、求证，标准的技术内容是项目承担单位在总结多年开展东阿黄河鲤鱼生产经验的基础上形成的，能够保证标准技术内容与生产实际相符合。</w:t>
      </w:r>
    </w:p>
    <w:p w:rsidR="00E77840" w:rsidRDefault="00D723D4">
      <w:pPr>
        <w:pStyle w:val="a6"/>
        <w:adjustRightInd w:val="0"/>
        <w:snapToGrid w:val="0"/>
        <w:ind w:right="28" w:firstLineChars="200"/>
        <w:rPr>
          <w:rFonts w:ascii="等线" w:eastAsia="等线" w:hAnsi="等线" w:cs="等线"/>
          <w:b/>
          <w:bCs/>
          <w:sz w:val="21"/>
          <w:szCs w:val="21"/>
        </w:rPr>
      </w:pPr>
      <w:r>
        <w:rPr>
          <w:rFonts w:ascii="等线" w:eastAsia="等线" w:hAnsi="等线" w:cs="等线" w:hint="eastAsia"/>
          <w:b/>
          <w:bCs/>
          <w:sz w:val="21"/>
          <w:szCs w:val="21"/>
        </w:rPr>
        <w:t>2、综述报告</w:t>
      </w:r>
    </w:p>
    <w:p w:rsidR="00E77840" w:rsidRDefault="00D723D4">
      <w:pPr>
        <w:spacing w:line="0" w:lineRule="atLeast"/>
        <w:ind w:firstLineChars="200" w:firstLine="420"/>
        <w:jc w:val="left"/>
        <w:rPr>
          <w:rFonts w:ascii="等线" w:eastAsia="等线" w:hAnsi="等线" w:cs="等线"/>
          <w:kern w:val="0"/>
          <w:szCs w:val="21"/>
        </w:rPr>
      </w:pPr>
      <w:r>
        <w:rPr>
          <w:rFonts w:ascii="等线" w:eastAsia="等线" w:hAnsi="等线" w:cs="等线" w:hint="eastAsia"/>
          <w:szCs w:val="21"/>
        </w:rPr>
        <w:t>2021年7月31号，中国渔业协会召开了团体标准立项评审会，邀请相关专家对《 东阿黄河鲤养殖技术规范（草案稿）》进行了立项评审并提出了修改意见：标</w:t>
      </w:r>
      <w:r>
        <w:rPr>
          <w:rFonts w:ascii="等线" w:eastAsia="等线" w:hAnsi="等线" w:cs="等线" w:hint="eastAsia"/>
          <w:kern w:val="0"/>
          <w:szCs w:val="21"/>
        </w:rPr>
        <w:t>准制定任务下达以来，项目承担单位按照流程要求开展了标准制定工作，首先成立起草小组，化解任务分工，分头开展调查研究、资料收集分析等工作，经汇总和多次讨论形成了标准征求意见稿，可靠性、严谨性较强。</w:t>
      </w:r>
    </w:p>
    <w:p w:rsidR="00E77840" w:rsidRDefault="00D723D4">
      <w:pPr>
        <w:pStyle w:val="ac"/>
        <w:ind w:firstLine="420"/>
        <w:rPr>
          <w:rFonts w:ascii="等线" w:eastAsia="等线" w:hAnsi="等线" w:cs="等线"/>
          <w:szCs w:val="21"/>
        </w:rPr>
      </w:pPr>
      <w:r>
        <w:rPr>
          <w:rFonts w:ascii="等线" w:eastAsia="等线" w:hAnsi="等线" w:cs="等线" w:hint="eastAsia"/>
          <w:szCs w:val="21"/>
        </w:rPr>
        <w:t>标准起草组向包括教学、科研、管理、生产的专家/单位征求了意见，在征求意见过程中没有出现重大意见分歧，标准起草组根据意见对标准的征求意见稿进行了修改，在此基础上修改完善后形成了标准</w:t>
      </w:r>
      <w:r w:rsidR="00C66B5C">
        <w:rPr>
          <w:rFonts w:ascii="等线" w:eastAsia="等线" w:hAnsi="等线" w:cs="等线" w:hint="eastAsia"/>
          <w:szCs w:val="21"/>
        </w:rPr>
        <w:t>公开征求意见稿</w:t>
      </w:r>
      <w:bookmarkStart w:id="2" w:name="_GoBack"/>
      <w:bookmarkEnd w:id="2"/>
      <w:r>
        <w:rPr>
          <w:rFonts w:ascii="等线" w:eastAsia="等线" w:hAnsi="等线" w:cs="等线" w:hint="eastAsia"/>
          <w:szCs w:val="21"/>
        </w:rPr>
        <w:t>。</w:t>
      </w:r>
    </w:p>
    <w:p w:rsidR="00E77840" w:rsidRDefault="00D723D4">
      <w:pPr>
        <w:pStyle w:val="a6"/>
        <w:adjustRightInd w:val="0"/>
        <w:snapToGrid w:val="0"/>
        <w:spacing w:beforeLines="50" w:before="156" w:afterLines="50" w:after="156" w:line="276" w:lineRule="auto"/>
        <w:ind w:right="28" w:firstLineChars="200" w:firstLine="402"/>
        <w:rPr>
          <w:b/>
          <w:bCs/>
        </w:rPr>
      </w:pPr>
      <w:r>
        <w:rPr>
          <w:b/>
          <w:bCs/>
        </w:rPr>
        <w:t>3</w:t>
      </w:r>
      <w:r>
        <w:rPr>
          <w:b/>
          <w:bCs/>
        </w:rPr>
        <w:t>、技术经济论证</w:t>
      </w:r>
    </w:p>
    <w:p w:rsidR="00E77840" w:rsidRDefault="00D723D4">
      <w:pPr>
        <w:pStyle w:val="ac"/>
        <w:ind w:firstLine="420"/>
        <w:rPr>
          <w:rFonts w:ascii="等线" w:eastAsia="等线" w:hAnsi="等线" w:cs="等线"/>
        </w:rPr>
      </w:pPr>
      <w:r>
        <w:rPr>
          <w:rFonts w:ascii="等线" w:eastAsia="等线" w:hAnsi="等线" w:cs="等线" w:hint="eastAsia"/>
        </w:rPr>
        <w:t>本标准的规范性技术要素为：术语和定义、环境条件、苗种放养、水质调控、日常管理、病害防控、捕捞、净养、运输9项主要措施，涵盖了东阿黄河鲤鱼养殖的主要关键技术，在技术指标的确定时，既考虑了最新的技术发展水平，也考虑了生产上的可行性和经济上的合理性，符合目前东阿黄河鲤鱼生产的实际情况，具有较强的可操作性，便于生产单位使用。</w:t>
      </w:r>
    </w:p>
    <w:p w:rsidR="00E77840" w:rsidRDefault="00D723D4">
      <w:pPr>
        <w:pStyle w:val="a6"/>
        <w:numPr>
          <w:ilvl w:val="0"/>
          <w:numId w:val="4"/>
        </w:numPr>
        <w:adjustRightInd w:val="0"/>
        <w:snapToGrid w:val="0"/>
        <w:spacing w:beforeLines="50" w:before="156" w:afterLines="50" w:after="156" w:line="276" w:lineRule="auto"/>
        <w:ind w:right="28" w:firstLineChars="200" w:firstLine="402"/>
        <w:rPr>
          <w:b/>
          <w:bCs/>
        </w:rPr>
      </w:pPr>
      <w:r>
        <w:rPr>
          <w:b/>
          <w:bCs/>
        </w:rPr>
        <w:t>预期的经济效益</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lastRenderedPageBreak/>
        <w:t>东阿县地处鲁西</w:t>
      </w:r>
      <w:hyperlink r:id="rId8" w:history="1">
        <w:r>
          <w:rPr>
            <w:rFonts w:asciiTheme="minorEastAsia" w:hAnsiTheme="minorEastAsia" w:cstheme="minorEastAsia" w:hint="eastAsia"/>
            <w:szCs w:val="21"/>
          </w:rPr>
          <w:t>平原</w:t>
        </w:r>
      </w:hyperlink>
      <w:r>
        <w:rPr>
          <w:rFonts w:asciiTheme="minorEastAsia" w:hAnsiTheme="minorEastAsia" w:cstheme="minorEastAsia" w:hint="eastAsia"/>
          <w:szCs w:val="21"/>
        </w:rPr>
        <w:t>，东依泰山，南临黄河，沿黄57公里，总面积729平方公里，是黄河鲤鱼重要原产地之一，养殖历史达1500多年，是著名的“中国黄河鲤鱼之乡”，全国农业标准化养殖（淡水渔业）示范区。目前，我县可利用养殖水面面积1663公顷，其中池塘面积860公顷，湖泊、水库等大水面面积800公顷。截止2020年底全县黄河鲤鱼养殖面积17000亩，其中精养池塘5000亩，年产东阿黄河鲤鱼5300吨，产值1.6亿元。东阿还充分发挥“东阿黄河鲤鱼”文化优势，大力发展观光休闲渔业，培育、建设了“鱼山休闲渔业公园”、“华龙雅苑”、“庞苓垂钓”、“黄河渔家”、“洛神湖鱼乐”和“位山黄河湿地公园”等一批观光旅游休闲渔业项目，东阿县十八湾旅游开发有限公司被评定为第二批省级内陆休闲渔业公园创建单位，东阿鱼山休闲渔业公园被评为“中国（内陆）休闲渔业旅游目的地”。特别是先后在东阿、聊城、临清、河北衡水、济南、上海等地扶持建成了“黄河滩渔村”、“阿东炖鱼”、“明阳大酒店”、“老济南四合院”和上海齐鲁怡号大酒店等多家东阿黄河鲤鱼旗舰店，突出了“东阿黄河鲤鱼”饮食特色和文化特色。依据品牌价值评价有关国家标准，经中国品牌建设促进会审定，“东阿黄河鲤鱼”地理标志产品品牌价值为2.81亿元。目前，品牌“东阿黄河鲤鱼”的签约供应价达到15元/斤，养鱼户塘口批发价提高30%以上，影响力越来越大，品牌价值将更加可观。</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本标准实施后可以规范东阿黄河鲤鱼养殖生产，提高经济效益，加速东阿黄河鲤鱼养殖的标准化、规范化进程，确保东阿黄河鲤鱼产业的可持续发展。</w:t>
      </w:r>
    </w:p>
    <w:p w:rsidR="00E77840" w:rsidRDefault="00D723D4">
      <w:pPr>
        <w:pStyle w:val="5"/>
        <w:numPr>
          <w:ilvl w:val="0"/>
          <w:numId w:val="3"/>
        </w:numPr>
        <w:spacing w:line="0" w:lineRule="atLeast"/>
        <w:ind w:firstLineChars="200" w:firstLine="560"/>
        <w:rPr>
          <w:rFonts w:asciiTheme="minorEastAsia" w:hAnsiTheme="minorEastAsia" w:cstheme="minorEastAsia"/>
        </w:rPr>
      </w:pPr>
      <w:r>
        <w:rPr>
          <w:rFonts w:asciiTheme="minorEastAsia" w:hAnsiTheme="minorEastAsia" w:cstheme="minorEastAsia" w:hint="eastAsia"/>
        </w:rPr>
        <w:t>采用国际标准和国外先进标准的程度，以及与国际、国外同类标准水平的对比情况，或与测试的国外样品有关数据的对比情况</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国际标准不详。充分与国内标准对接，并对有关指标提出更高要求。鉴于国内外没有同类标准，该标准创立后应属于国内先进水平。</w:t>
      </w:r>
    </w:p>
    <w:p w:rsidR="00E77840" w:rsidRDefault="00D723D4">
      <w:pPr>
        <w:pStyle w:val="ac"/>
        <w:ind w:firstLine="420"/>
        <w:rPr>
          <w:rFonts w:ascii="等线" w:eastAsia="等线" w:hAnsi="等线" w:cs="等线"/>
          <w:szCs w:val="21"/>
        </w:rPr>
      </w:pPr>
      <w:r>
        <w:rPr>
          <w:rFonts w:ascii="等线" w:eastAsia="等线" w:hAnsi="等线" w:cs="等线" w:hint="eastAsia"/>
          <w:szCs w:val="21"/>
        </w:rPr>
        <w:t>东阿黄河鲤鱼养殖技术吸收了国内外先进的黄河鲤养殖技术的优点，形成了一套独特的生态养殖技术，引用了</w:t>
      </w:r>
      <w:r>
        <w:rPr>
          <w:rFonts w:ascii="等线" w:eastAsia="等线" w:hAnsi="等线" w:cs="等线" w:hint="eastAsia"/>
        </w:rPr>
        <w:t>《生活饮用水卫生标准》（GB 5749 ）、《渔业水质标准》（GB 11607）</w:t>
      </w:r>
      <w:r>
        <w:rPr>
          <w:rFonts w:ascii="等线" w:eastAsia="等线" w:hAnsi="等线" w:cs="等线" w:hint="eastAsia"/>
          <w:szCs w:val="21"/>
        </w:rPr>
        <w:t>等国家标准，突出了水源水质的重要性，以及农业无公害食品系列标准，以保证所生产东阿黄河鲤鱼的品质。</w:t>
      </w:r>
    </w:p>
    <w:p w:rsidR="00E77840" w:rsidRDefault="00D723D4">
      <w:pPr>
        <w:pStyle w:val="5"/>
        <w:numPr>
          <w:ilvl w:val="0"/>
          <w:numId w:val="3"/>
        </w:numPr>
        <w:spacing w:line="0" w:lineRule="atLeast"/>
        <w:ind w:firstLineChars="200" w:firstLine="560"/>
        <w:rPr>
          <w:rFonts w:ascii="宋体" w:hAnsi="宋体"/>
        </w:rPr>
      </w:pPr>
      <w:r>
        <w:rPr>
          <w:rFonts w:ascii="宋体" w:hAnsi="宋体" w:hint="eastAsia"/>
        </w:rPr>
        <w:t>与现有相关法律法规及相关标准的协调性</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szCs w:val="21"/>
        </w:rPr>
        <w:t>本标准符合《水产苗种管理办法》的规定；符合农业农村部关于印发《农业绿色发展技术指导（2018-2030年）》的通知；符合农业农村部《加快推进水产养殖业绿色发展的若干意见》的要求；符合农业农村部《2020年渔业渔政工作要点》中“加快渔业高质量绿色发展相关标准制修订”的要求；</w:t>
      </w:r>
      <w:r>
        <w:rPr>
          <w:rFonts w:asciiTheme="minorEastAsia" w:hAnsiTheme="minorEastAsia" w:cstheme="minorEastAsia" w:hint="eastAsia"/>
          <w:szCs w:val="21"/>
        </w:rPr>
        <w:t>本标准在编制过程中，参考了国家、行业、地方有关标准，与相关的现行法律、法规和强制性标准相协调，没有矛盾。本标准作为团体标准制定发布后，对东阿黄河鲤鱼养殖生产技术操作进行规范。</w:t>
      </w:r>
    </w:p>
    <w:p w:rsidR="00E77840" w:rsidRDefault="00D723D4">
      <w:pPr>
        <w:pStyle w:val="5"/>
        <w:numPr>
          <w:ilvl w:val="0"/>
          <w:numId w:val="3"/>
        </w:numPr>
        <w:spacing w:line="0" w:lineRule="atLeast"/>
        <w:ind w:firstLineChars="200" w:firstLine="560"/>
        <w:rPr>
          <w:rFonts w:ascii="宋体" w:hAnsi="宋体"/>
        </w:rPr>
      </w:pPr>
      <w:r>
        <w:rPr>
          <w:rFonts w:ascii="宋体" w:hAnsi="宋体" w:hint="eastAsia"/>
        </w:rPr>
        <w:t>重大分歧意见的处理经过和依据</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对专家提出的意见，按照标准编制原则，充分采纳吸收，摸排了全国东阿黄河鲤鱼养殖生产技术情况，修改了标准名称，修订相应内容；删减了引用标准，突出文字表述，增加阅读理解直观性，删除了微生物制剂的使用表述和规避了时代性语言。没有出现重大分歧意见。</w:t>
      </w:r>
    </w:p>
    <w:p w:rsidR="00E77840" w:rsidRDefault="00D723D4">
      <w:pPr>
        <w:pStyle w:val="a6"/>
        <w:adjustRightInd w:val="0"/>
        <w:snapToGrid w:val="0"/>
        <w:spacing w:beforeLines="50" w:before="156" w:afterLines="50" w:after="156" w:line="276" w:lineRule="auto"/>
        <w:ind w:right="28" w:firstLineChars="200" w:firstLine="560"/>
        <w:rPr>
          <w:b/>
          <w:bCs/>
        </w:rPr>
      </w:pPr>
      <w:r>
        <w:rPr>
          <w:rFonts w:ascii="宋体" w:hAnsi="宋体" w:hint="eastAsia"/>
          <w:bCs/>
          <w:kern w:val="2"/>
          <w:sz w:val="28"/>
          <w:szCs w:val="28"/>
        </w:rPr>
        <w:t>七、</w:t>
      </w:r>
      <w:r>
        <w:rPr>
          <w:rFonts w:ascii="宋体" w:eastAsiaTheme="minorEastAsia" w:hAnsi="宋体" w:cstheme="minorBidi"/>
          <w:b/>
          <w:bCs/>
          <w:kern w:val="2"/>
          <w:sz w:val="28"/>
          <w:szCs w:val="28"/>
        </w:rPr>
        <w:t>标准作为强制性标准或推荐性标准的建议</w:t>
      </w:r>
    </w:p>
    <w:p w:rsidR="00E77840" w:rsidRDefault="00D723D4">
      <w:pPr>
        <w:spacing w:line="0" w:lineRule="atLeast"/>
        <w:ind w:firstLineChars="200" w:firstLine="420"/>
        <w:jc w:val="left"/>
        <w:rPr>
          <w:rFonts w:ascii="宋体" w:hAnsi="宋体"/>
          <w:bCs/>
          <w:sz w:val="28"/>
          <w:szCs w:val="28"/>
        </w:rPr>
      </w:pPr>
      <w:r>
        <w:rPr>
          <w:rFonts w:asciiTheme="minorEastAsia" w:hAnsiTheme="minorEastAsia" w:cstheme="minorEastAsia"/>
          <w:szCs w:val="21"/>
        </w:rPr>
        <w:t>由于本标准为</w:t>
      </w:r>
      <w:r>
        <w:rPr>
          <w:rFonts w:asciiTheme="minorEastAsia" w:hAnsiTheme="minorEastAsia" w:cstheme="minorEastAsia" w:hint="eastAsia"/>
          <w:szCs w:val="21"/>
        </w:rPr>
        <w:t>团体</w:t>
      </w:r>
      <w:r>
        <w:rPr>
          <w:rFonts w:asciiTheme="minorEastAsia" w:hAnsiTheme="minorEastAsia" w:cstheme="minorEastAsia"/>
          <w:szCs w:val="21"/>
        </w:rPr>
        <w:t>标准，因此建议本标准作为推荐性</w:t>
      </w:r>
      <w:r>
        <w:rPr>
          <w:rFonts w:asciiTheme="minorEastAsia" w:hAnsiTheme="minorEastAsia" w:cstheme="minorEastAsia" w:hint="eastAsia"/>
          <w:szCs w:val="21"/>
        </w:rPr>
        <w:t>团体</w:t>
      </w:r>
      <w:r>
        <w:rPr>
          <w:rFonts w:asciiTheme="minorEastAsia" w:hAnsiTheme="minorEastAsia" w:cstheme="minorEastAsia"/>
          <w:szCs w:val="21"/>
        </w:rPr>
        <w:t>标准发布，以促</w:t>
      </w:r>
      <w:r>
        <w:rPr>
          <w:rFonts w:asciiTheme="minorEastAsia" w:hAnsiTheme="minorEastAsia" w:cstheme="minorEastAsia" w:hint="eastAsia"/>
          <w:szCs w:val="21"/>
        </w:rPr>
        <w:t>东阿黄河鲤</w:t>
      </w:r>
      <w:r>
        <w:rPr>
          <w:rFonts w:asciiTheme="minorEastAsia" w:hAnsiTheme="minorEastAsia" w:cstheme="minorEastAsia" w:hint="eastAsia"/>
          <w:szCs w:val="21"/>
        </w:rPr>
        <w:lastRenderedPageBreak/>
        <w:t>鱼养殖</w:t>
      </w:r>
      <w:r>
        <w:rPr>
          <w:rFonts w:asciiTheme="minorEastAsia" w:hAnsiTheme="minorEastAsia" w:cstheme="minorEastAsia"/>
          <w:szCs w:val="21"/>
        </w:rPr>
        <w:t>标准化、规范化发展。</w:t>
      </w:r>
    </w:p>
    <w:p w:rsidR="00E77840" w:rsidRDefault="00D723D4">
      <w:pPr>
        <w:pStyle w:val="1"/>
        <w:spacing w:line="0" w:lineRule="atLeast"/>
        <w:ind w:firstLineChars="200" w:firstLine="560"/>
        <w:rPr>
          <w:sz w:val="28"/>
          <w:szCs w:val="28"/>
        </w:rPr>
      </w:pPr>
      <w:r>
        <w:rPr>
          <w:rFonts w:ascii="宋体" w:hAnsi="宋体" w:hint="eastAsia"/>
          <w:bCs/>
          <w:kern w:val="2"/>
          <w:sz w:val="28"/>
          <w:szCs w:val="28"/>
        </w:rPr>
        <w:t>八、贯彻标准的要求和措施建议（包括组织措施、技术措施、过渡办法等内容）</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本标准将为东阿黄河鲤鱼养殖提供生产标准，有利于规范和引导东阿黄河鲤鱼健康养殖生产。根据本标准开展的东阿黄河鲤鱼健康养殖，将进一步增加养殖经济效益，促进东阿黄河鲤鱼产业化健康发展。</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标准发布后，建议有关部门及时进行标准宣贯和标准培训，确保相关人员应知应会。</w:t>
      </w:r>
    </w:p>
    <w:p w:rsidR="00E77840" w:rsidRDefault="00D723D4">
      <w:pPr>
        <w:pStyle w:val="a6"/>
        <w:adjustRightInd w:val="0"/>
        <w:snapToGrid w:val="0"/>
        <w:spacing w:beforeLines="50" w:before="156" w:afterLines="50" w:after="156" w:line="276" w:lineRule="auto"/>
        <w:ind w:right="28" w:firstLineChars="200" w:firstLine="560"/>
        <w:rPr>
          <w:b/>
          <w:bCs/>
        </w:rPr>
      </w:pPr>
      <w:r>
        <w:rPr>
          <w:rFonts w:ascii="宋体" w:hAnsi="宋体" w:hint="eastAsia"/>
          <w:bCs/>
          <w:kern w:val="2"/>
          <w:sz w:val="28"/>
          <w:szCs w:val="28"/>
        </w:rPr>
        <w:t>九、</w:t>
      </w:r>
      <w:r>
        <w:rPr>
          <w:rFonts w:ascii="宋体" w:eastAsiaTheme="minorEastAsia" w:hAnsi="宋体" w:cstheme="minorBidi"/>
          <w:b/>
          <w:bCs/>
          <w:kern w:val="2"/>
          <w:sz w:val="28"/>
          <w:szCs w:val="28"/>
        </w:rPr>
        <w:t>废止现行有关标准的建议</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无。</w:t>
      </w:r>
    </w:p>
    <w:p w:rsidR="00E77840" w:rsidRDefault="00D723D4">
      <w:pPr>
        <w:pStyle w:val="1"/>
        <w:spacing w:line="0" w:lineRule="atLeast"/>
        <w:ind w:firstLineChars="200" w:firstLine="560"/>
        <w:rPr>
          <w:sz w:val="36"/>
          <w:szCs w:val="21"/>
        </w:rPr>
      </w:pPr>
      <w:r>
        <w:rPr>
          <w:rFonts w:ascii="宋体" w:hAnsi="宋体" w:hint="eastAsia"/>
          <w:bCs/>
          <w:kern w:val="2"/>
          <w:sz w:val="28"/>
          <w:szCs w:val="28"/>
        </w:rPr>
        <w:t>十、其它应予说明的事项</w:t>
      </w:r>
    </w:p>
    <w:p w:rsidR="00E77840" w:rsidRDefault="00D723D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无。</w:t>
      </w:r>
    </w:p>
    <w:sectPr w:rsidR="00E778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360" w:rsidRDefault="00640360" w:rsidP="00501A8E">
      <w:r>
        <w:separator/>
      </w:r>
    </w:p>
  </w:endnote>
  <w:endnote w:type="continuationSeparator" w:id="0">
    <w:p w:rsidR="00640360" w:rsidRDefault="00640360" w:rsidP="0050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360" w:rsidRDefault="00640360" w:rsidP="00501A8E">
      <w:r>
        <w:separator/>
      </w:r>
    </w:p>
  </w:footnote>
  <w:footnote w:type="continuationSeparator" w:id="0">
    <w:p w:rsidR="00640360" w:rsidRDefault="00640360" w:rsidP="00501A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10C4A"/>
    <w:multiLevelType w:val="singleLevel"/>
    <w:tmpl w:val="16C10C4A"/>
    <w:lvl w:ilvl="0">
      <w:start w:val="1"/>
      <w:numFmt w:val="decimal"/>
      <w:suff w:val="nothing"/>
      <w:lvlText w:val="%1、"/>
      <w:lvlJc w:val="left"/>
    </w:lvl>
  </w:abstractNum>
  <w:abstractNum w:abstractNumId="1" w15:restartNumberingAfterBreak="0">
    <w:nsid w:val="29E0CCDC"/>
    <w:multiLevelType w:val="singleLevel"/>
    <w:tmpl w:val="29E0CCDC"/>
    <w:lvl w:ilvl="0">
      <w:start w:val="1"/>
      <w:numFmt w:val="chineseCounting"/>
      <w:suff w:val="nothing"/>
      <w:lvlText w:val="%1、"/>
      <w:lvlJc w:val="left"/>
      <w:rPr>
        <w:rFonts w:hint="eastAsia"/>
      </w:rPr>
    </w:lvl>
  </w:abstractNum>
  <w:abstractNum w:abstractNumId="2" w15:restartNumberingAfterBreak="0">
    <w:nsid w:val="350361FF"/>
    <w:multiLevelType w:val="multilevel"/>
    <w:tmpl w:val="350361FF"/>
    <w:lvl w:ilvl="0">
      <w:start w:val="1"/>
      <w:numFmt w:val="chineseCountingThousand"/>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646260FA"/>
    <w:multiLevelType w:val="multilevel"/>
    <w:tmpl w:val="646260FA"/>
    <w:lvl w:ilvl="0">
      <w:start w:val="1"/>
      <w:numFmt w:val="decimal"/>
      <w:pStyle w:val="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1"/>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AD3"/>
    <w:rsid w:val="0008032A"/>
    <w:rsid w:val="00160149"/>
    <w:rsid w:val="001F79F6"/>
    <w:rsid w:val="003505C0"/>
    <w:rsid w:val="00390490"/>
    <w:rsid w:val="003C56D6"/>
    <w:rsid w:val="003D3096"/>
    <w:rsid w:val="00402549"/>
    <w:rsid w:val="0048415E"/>
    <w:rsid w:val="004D067F"/>
    <w:rsid w:val="00501A8E"/>
    <w:rsid w:val="005432C4"/>
    <w:rsid w:val="00640360"/>
    <w:rsid w:val="00711CF6"/>
    <w:rsid w:val="007A5991"/>
    <w:rsid w:val="007A6C10"/>
    <w:rsid w:val="00887874"/>
    <w:rsid w:val="00C66B5C"/>
    <w:rsid w:val="00C67DFF"/>
    <w:rsid w:val="00D12AA2"/>
    <w:rsid w:val="00D723D4"/>
    <w:rsid w:val="00DC2AD3"/>
    <w:rsid w:val="00E77840"/>
    <w:rsid w:val="034A4781"/>
    <w:rsid w:val="0F6775CF"/>
    <w:rsid w:val="263E5C04"/>
    <w:rsid w:val="2995005F"/>
    <w:rsid w:val="2ED40B20"/>
    <w:rsid w:val="34CD7947"/>
    <w:rsid w:val="48627326"/>
    <w:rsid w:val="4B1D204F"/>
    <w:rsid w:val="5D325D70"/>
    <w:rsid w:val="68327684"/>
    <w:rsid w:val="69785DB7"/>
    <w:rsid w:val="73F84E9E"/>
    <w:rsid w:val="75E70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935430"/>
  <w15:docId w15:val="{5B5FFC57-F2CB-4BB5-B3CB-63B58478C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1" w:qFormat="1"/>
    <w:lsdException w:name="heading 4" w:semiHidden="1"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next w:val="5"/>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qFormat/>
    <w:pPr>
      <w:keepNext/>
      <w:keepLines/>
      <w:spacing w:before="340" w:after="330" w:line="576" w:lineRule="auto"/>
      <w:outlineLvl w:val="0"/>
    </w:pPr>
    <w:rPr>
      <w:b/>
      <w:kern w:val="44"/>
      <w:sz w:val="44"/>
    </w:rPr>
  </w:style>
  <w:style w:type="paragraph" w:styleId="3">
    <w:name w:val="heading 3"/>
    <w:basedOn w:val="a2"/>
    <w:next w:val="a2"/>
    <w:uiPriority w:val="1"/>
    <w:qFormat/>
    <w:pPr>
      <w:ind w:left="776"/>
      <w:outlineLvl w:val="2"/>
    </w:pPr>
    <w:rPr>
      <w:rFonts w:ascii="微软雅黑" w:eastAsia="微软雅黑" w:hAnsi="微软雅黑" w:cs="微软雅黑"/>
      <w:b/>
      <w:bCs/>
      <w:sz w:val="32"/>
      <w:szCs w:val="32"/>
    </w:rPr>
  </w:style>
  <w:style w:type="paragraph" w:styleId="5">
    <w:name w:val="heading 5"/>
    <w:basedOn w:val="a2"/>
    <w:next w:val="a2"/>
    <w:uiPriority w:val="9"/>
    <w:unhideWhenUsed/>
    <w:qFormat/>
    <w:pPr>
      <w:keepNext/>
      <w:keepLines/>
      <w:spacing w:before="280" w:after="290" w:line="376" w:lineRule="auto"/>
      <w:outlineLvl w:val="4"/>
    </w:pPr>
    <w:rPr>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rmal Indent"/>
    <w:basedOn w:val="a2"/>
    <w:qFormat/>
    <w:pPr>
      <w:widowControl/>
      <w:ind w:firstLine="420"/>
      <w:jc w:val="left"/>
    </w:pPr>
    <w:rPr>
      <w:rFonts w:ascii="Times New Roman" w:eastAsia="宋体" w:hAnsi="Times New Roman" w:cs="Times New Roman"/>
      <w:kern w:val="0"/>
      <w:sz w:val="20"/>
      <w:szCs w:val="20"/>
    </w:rPr>
  </w:style>
  <w:style w:type="paragraph" w:styleId="a7">
    <w:name w:val="footer"/>
    <w:basedOn w:val="a2"/>
    <w:uiPriority w:val="99"/>
    <w:qFormat/>
    <w:pPr>
      <w:tabs>
        <w:tab w:val="center" w:pos="4153"/>
        <w:tab w:val="right" w:pos="8306"/>
      </w:tabs>
      <w:snapToGrid w:val="0"/>
      <w:jc w:val="left"/>
    </w:pPr>
    <w:rPr>
      <w:sz w:val="18"/>
      <w:szCs w:val="18"/>
    </w:rPr>
  </w:style>
  <w:style w:type="table" w:styleId="a8">
    <w:name w:val="Table Grid"/>
    <w:basedOn w:val="a4"/>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段 Char"/>
    <w:link w:val="a9"/>
    <w:qFormat/>
    <w:rPr>
      <w:rFonts w:ascii="宋体"/>
    </w:rPr>
  </w:style>
  <w:style w:type="paragraph" w:customStyle="1" w:styleId="a9">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styleId="aa">
    <w:name w:val="List Paragraph"/>
    <w:basedOn w:val="a2"/>
    <w:uiPriority w:val="99"/>
    <w:qFormat/>
    <w:pPr>
      <w:ind w:firstLineChars="200" w:firstLine="420"/>
    </w:pPr>
    <w:rPr>
      <w:rFonts w:ascii="Times New Roman" w:eastAsia="宋体" w:hAnsi="Times New Roman" w:cs="Times New Roman"/>
      <w:szCs w:val="24"/>
    </w:rPr>
  </w:style>
  <w:style w:type="paragraph" w:customStyle="1" w:styleId="ab">
    <w:name w:val="标准文件_文件名称"/>
    <w:basedOn w:val="ac"/>
    <w:next w:val="ac"/>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c">
    <w:name w:val="标准文件_段"/>
    <w:qFormat/>
    <w:pPr>
      <w:autoSpaceDE w:val="0"/>
      <w:autoSpaceDN w:val="0"/>
      <w:ind w:firstLineChars="200" w:firstLine="200"/>
      <w:jc w:val="both"/>
    </w:pPr>
    <w:rPr>
      <w:rFonts w:ascii="宋体"/>
      <w:sz w:val="21"/>
    </w:rPr>
  </w:style>
  <w:style w:type="paragraph" w:customStyle="1" w:styleId="a0">
    <w:name w:val="标准文件_章标题"/>
    <w:next w:val="ac"/>
    <w:qFormat/>
    <w:pPr>
      <w:numPr>
        <w:ilvl w:val="1"/>
        <w:numId w:val="1"/>
      </w:numPr>
      <w:spacing w:beforeLines="100" w:before="100" w:afterLines="100" w:after="100"/>
      <w:jc w:val="both"/>
      <w:outlineLvl w:val="0"/>
    </w:pPr>
    <w:rPr>
      <w:rFonts w:ascii="黑体" w:eastAsia="黑体"/>
      <w:sz w:val="21"/>
    </w:rPr>
  </w:style>
  <w:style w:type="paragraph" w:customStyle="1" w:styleId="a">
    <w:name w:val="标准文件_正文表标题"/>
    <w:next w:val="ac"/>
    <w:qFormat/>
    <w:pPr>
      <w:numPr>
        <w:numId w:val="2"/>
      </w:numPr>
      <w:tabs>
        <w:tab w:val="left" w:pos="0"/>
      </w:tabs>
      <w:spacing w:beforeLines="50" w:before="50" w:afterLines="50" w:after="50"/>
      <w:jc w:val="center"/>
    </w:pPr>
    <w:rPr>
      <w:rFonts w:ascii="黑体" w:eastAsia="黑体"/>
      <w:sz w:val="21"/>
    </w:rPr>
  </w:style>
  <w:style w:type="paragraph" w:customStyle="1" w:styleId="a1">
    <w:name w:val="标准文件_二级条标题"/>
    <w:next w:val="ac"/>
    <w:qFormat/>
    <w:pPr>
      <w:widowControl w:val="0"/>
      <w:numPr>
        <w:ilvl w:val="3"/>
        <w:numId w:val="1"/>
      </w:numPr>
      <w:spacing w:beforeLines="50" w:before="50" w:afterLines="50" w:after="50"/>
      <w:jc w:val="both"/>
      <w:outlineLvl w:val="2"/>
    </w:pPr>
    <w:rPr>
      <w:rFonts w:ascii="黑体" w:eastAsia="黑体"/>
      <w:sz w:val="21"/>
    </w:rPr>
  </w:style>
  <w:style w:type="paragraph" w:styleId="ad">
    <w:name w:val="header"/>
    <w:basedOn w:val="a2"/>
    <w:link w:val="ae"/>
    <w:uiPriority w:val="99"/>
    <w:unhideWhenUsed/>
    <w:rsid w:val="00501A8E"/>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3"/>
    <w:link w:val="ad"/>
    <w:uiPriority w:val="99"/>
    <w:rsid w:val="00501A8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aike.baidu.com/view/26000.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1356</Words>
  <Characters>7733</Characters>
  <Application>Microsoft Office Word</Application>
  <DocSecurity>0</DocSecurity>
  <Lines>64</Lines>
  <Paragraphs>18</Paragraphs>
  <ScaleCrop>false</ScaleCrop>
  <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2021-07-19T10:47:00Z</dcterms:created>
  <dcterms:modified xsi:type="dcterms:W3CDTF">2022-01-10T12:22:00Z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FE55E6B942364673BB37404F87C7E79D</vt:lpwstr>
  </property>
</Properties>
</file>